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83" w:rsidRDefault="00530683" w:rsidP="00530683">
      <w:pPr>
        <w:pStyle w:val="Puesto"/>
        <w:ind w:left="-539" w:right="-522"/>
        <w:rPr>
          <w:color w:val="000000"/>
          <w:spacing w:val="20"/>
        </w:rPr>
      </w:pPr>
      <w:r>
        <w:rPr>
          <w:color w:val="000000"/>
          <w:spacing w:val="20"/>
        </w:rPr>
        <w:t>GRUPO DE POLÍTICA MONETARIA</w:t>
      </w:r>
    </w:p>
    <w:p w:rsidR="00530683" w:rsidRDefault="00BA6C11" w:rsidP="00530683">
      <w:pPr>
        <w:pStyle w:val="Puesto"/>
        <w:ind w:left="-539" w:right="-522"/>
        <w:rPr>
          <w:color w:val="808080"/>
        </w:rPr>
      </w:pPr>
      <w:r>
        <w:rPr>
          <w:color w:val="808080"/>
        </w:rPr>
        <w:t xml:space="preserve">Comunicado </w:t>
      </w:r>
      <w:r w:rsidR="00E36037">
        <w:rPr>
          <w:color w:val="808080"/>
        </w:rPr>
        <w:t>Miércoles</w:t>
      </w:r>
      <w:r w:rsidR="00890D89">
        <w:rPr>
          <w:color w:val="808080"/>
        </w:rPr>
        <w:t xml:space="preserve"> 1</w:t>
      </w:r>
      <w:r w:rsidR="005B4D79">
        <w:rPr>
          <w:color w:val="808080"/>
        </w:rPr>
        <w:t>2</w:t>
      </w:r>
      <w:r w:rsidR="00530683">
        <w:rPr>
          <w:color w:val="808080"/>
        </w:rPr>
        <w:t xml:space="preserve"> de </w:t>
      </w:r>
      <w:r w:rsidR="00E36037">
        <w:rPr>
          <w:color w:val="808080"/>
        </w:rPr>
        <w:t>Ju</w:t>
      </w:r>
      <w:r w:rsidR="005B4D79">
        <w:rPr>
          <w:color w:val="808080"/>
        </w:rPr>
        <w:t>l</w:t>
      </w:r>
      <w:r w:rsidR="00E36037">
        <w:rPr>
          <w:color w:val="808080"/>
        </w:rPr>
        <w:t>io de 2017</w:t>
      </w:r>
    </w:p>
    <w:p w:rsidR="004C2191" w:rsidRPr="00556D25" w:rsidRDefault="00530683" w:rsidP="0053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280670</wp:posOffset>
            </wp:positionV>
            <wp:extent cx="6515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7" y="21402"/>
                <wp:lineTo x="21537" y="0"/>
                <wp:lineTo x="0" y="0"/>
              </wp:wrapPolygon>
            </wp:wrapTight>
            <wp:docPr id="1" name="Imagen 1" descr="Descripción: Descripción: bannersin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bannersin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___________________________________________________________</w:t>
      </w:r>
      <w:r>
        <w:br/>
      </w:r>
      <w:r w:rsidR="00A629B8" w:rsidRPr="00556D25">
        <w:rPr>
          <w:rFonts w:ascii="Times New Roman" w:hAnsi="Times New Roman" w:cs="Times New Roman"/>
          <w:b/>
          <w:sz w:val="24"/>
          <w:szCs w:val="24"/>
        </w:rPr>
        <w:t>RAPH</w:t>
      </w:r>
      <w:r w:rsidRPr="00556D25">
        <w:rPr>
          <w:rFonts w:ascii="Times New Roman" w:hAnsi="Times New Roman" w:cs="Times New Roman"/>
          <w:b/>
          <w:sz w:val="24"/>
          <w:szCs w:val="24"/>
        </w:rPr>
        <w:t xml:space="preserve">AEL BERGOEING, </w:t>
      </w:r>
      <w:r w:rsidR="00B550BC">
        <w:rPr>
          <w:rFonts w:ascii="Times New Roman" w:hAnsi="Times New Roman" w:cs="Times New Roman"/>
          <w:b/>
          <w:sz w:val="24"/>
          <w:szCs w:val="24"/>
        </w:rPr>
        <w:t>CARLOS BUDNEVICH</w:t>
      </w:r>
      <w:r w:rsidR="00A629B8" w:rsidRPr="00556D2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406D9" w:rsidRPr="00556D25" w:rsidDel="003406D9" w:rsidRDefault="00A629B8" w:rsidP="0053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D25">
        <w:rPr>
          <w:rFonts w:ascii="Times New Roman" w:hAnsi="Times New Roman" w:cs="Times New Roman"/>
          <w:b/>
          <w:sz w:val="24"/>
          <w:szCs w:val="24"/>
        </w:rPr>
        <w:t>TOMÁS IZQUIERDO</w:t>
      </w:r>
      <w:r w:rsidR="00FD14E7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Pr="00556D25">
        <w:rPr>
          <w:rFonts w:ascii="Times New Roman" w:hAnsi="Times New Roman" w:cs="Times New Roman"/>
          <w:b/>
          <w:sz w:val="24"/>
          <w:szCs w:val="24"/>
        </w:rPr>
        <w:t xml:space="preserve">GUILLERMO LE FORT </w:t>
      </w:r>
    </w:p>
    <w:p w:rsidR="002D6222" w:rsidRPr="00DF6CD7" w:rsidRDefault="00F3205B" w:rsidP="00A16F4B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La </w:t>
      </w:r>
      <w:r w:rsidRPr="00DF6CD7">
        <w:rPr>
          <w:rFonts w:ascii="Times New Roman" w:hAnsi="Times New Roman" w:cs="Times New Roman"/>
          <w:b/>
          <w:sz w:val="23"/>
          <w:szCs w:val="23"/>
        </w:rPr>
        <w:t>recuperación</w:t>
      </w:r>
      <w:r>
        <w:rPr>
          <w:rFonts w:ascii="Times New Roman" w:hAnsi="Times New Roman" w:cs="Times New Roman"/>
          <w:b/>
          <w:sz w:val="23"/>
          <w:szCs w:val="23"/>
        </w:rPr>
        <w:t xml:space="preserve"> de la economía norteamericana</w:t>
      </w:r>
      <w:r w:rsidR="00A24BF5">
        <w:rPr>
          <w:rFonts w:ascii="Times New Roman" w:hAnsi="Times New Roman" w:cs="Times New Roman"/>
          <w:b/>
          <w:sz w:val="23"/>
          <w:szCs w:val="23"/>
        </w:rPr>
        <w:t xml:space="preserve"> es puesta en duda</w:t>
      </w:r>
      <w:r w:rsidR="00021F6F">
        <w:rPr>
          <w:rFonts w:ascii="Times New Roman" w:hAnsi="Times New Roman" w:cs="Times New Roman"/>
          <w:b/>
          <w:sz w:val="23"/>
          <w:szCs w:val="23"/>
        </w:rPr>
        <w:t xml:space="preserve"> y el </w:t>
      </w:r>
      <w:r>
        <w:rPr>
          <w:rFonts w:ascii="Times New Roman" w:hAnsi="Times New Roman" w:cs="Times New Roman"/>
          <w:b/>
          <w:sz w:val="23"/>
          <w:szCs w:val="23"/>
        </w:rPr>
        <w:t xml:space="preserve">valor del dólar se deteriora sin que existan señales de un alza significativa en los precios de los “commodities”.  En Chile, el desempleo sube </w:t>
      </w:r>
      <w:r w:rsidR="00971479">
        <w:rPr>
          <w:rFonts w:ascii="Times New Roman" w:hAnsi="Times New Roman" w:cs="Times New Roman"/>
          <w:b/>
          <w:sz w:val="23"/>
          <w:szCs w:val="23"/>
        </w:rPr>
        <w:t xml:space="preserve">y </w:t>
      </w:r>
      <w:r>
        <w:rPr>
          <w:rFonts w:ascii="Times New Roman" w:hAnsi="Times New Roman" w:cs="Times New Roman"/>
          <w:b/>
          <w:sz w:val="23"/>
          <w:szCs w:val="23"/>
        </w:rPr>
        <w:t xml:space="preserve">las </w:t>
      </w:r>
      <w:r w:rsidRPr="00DF6CD7">
        <w:rPr>
          <w:rFonts w:ascii="Times New Roman" w:hAnsi="Times New Roman" w:cs="Times New Roman"/>
          <w:b/>
          <w:sz w:val="23"/>
          <w:szCs w:val="23"/>
        </w:rPr>
        <w:t xml:space="preserve">remuneraciones </w:t>
      </w:r>
      <w:r>
        <w:rPr>
          <w:rFonts w:ascii="Times New Roman" w:hAnsi="Times New Roman" w:cs="Times New Roman"/>
          <w:b/>
          <w:sz w:val="23"/>
          <w:szCs w:val="23"/>
        </w:rPr>
        <w:t>se desaceleran en respuesta a</w:t>
      </w:r>
      <w:r w:rsidR="00876D6E">
        <w:rPr>
          <w:rFonts w:ascii="Times New Roman" w:hAnsi="Times New Roman" w:cs="Times New Roman"/>
          <w:b/>
          <w:sz w:val="23"/>
          <w:szCs w:val="23"/>
        </w:rPr>
        <w:t xml:space="preserve"> una amplia brecha de capacidad</w:t>
      </w:r>
      <w:r>
        <w:rPr>
          <w:rFonts w:ascii="Times New Roman" w:hAnsi="Times New Roman" w:cs="Times New Roman"/>
          <w:b/>
          <w:sz w:val="23"/>
          <w:szCs w:val="23"/>
        </w:rPr>
        <w:t>.  L</w:t>
      </w:r>
      <w:r w:rsidR="002D6222" w:rsidRPr="00DF6CD7">
        <w:rPr>
          <w:rFonts w:ascii="Times New Roman" w:hAnsi="Times New Roman" w:cs="Times New Roman"/>
          <w:b/>
          <w:sz w:val="23"/>
          <w:szCs w:val="23"/>
        </w:rPr>
        <w:t xml:space="preserve">a inflación </w:t>
      </w:r>
      <w:r w:rsidR="00D35151">
        <w:rPr>
          <w:rFonts w:ascii="Times New Roman" w:hAnsi="Times New Roman" w:cs="Times New Roman"/>
          <w:b/>
          <w:sz w:val="23"/>
          <w:szCs w:val="23"/>
        </w:rPr>
        <w:t xml:space="preserve">en doce meses </w:t>
      </w:r>
      <w:r w:rsidR="00876D6E">
        <w:rPr>
          <w:rFonts w:ascii="Times New Roman" w:hAnsi="Times New Roman" w:cs="Times New Roman"/>
          <w:b/>
          <w:sz w:val="23"/>
          <w:szCs w:val="23"/>
        </w:rPr>
        <w:t xml:space="preserve">cae </w:t>
      </w:r>
      <w:r w:rsidR="00971479">
        <w:rPr>
          <w:rFonts w:ascii="Times New Roman" w:hAnsi="Times New Roman" w:cs="Times New Roman"/>
          <w:b/>
          <w:sz w:val="23"/>
          <w:szCs w:val="23"/>
        </w:rPr>
        <w:t xml:space="preserve">bajo </w:t>
      </w:r>
      <w:r w:rsidR="002D6222" w:rsidRPr="00DF6CD7">
        <w:rPr>
          <w:rFonts w:ascii="Times New Roman" w:hAnsi="Times New Roman" w:cs="Times New Roman"/>
          <w:b/>
          <w:sz w:val="23"/>
          <w:szCs w:val="23"/>
        </w:rPr>
        <w:t xml:space="preserve">el límite inferior del rango meta </w:t>
      </w:r>
      <w:r w:rsidR="00971479">
        <w:rPr>
          <w:rFonts w:ascii="Times New Roman" w:hAnsi="Times New Roman" w:cs="Times New Roman"/>
          <w:b/>
          <w:sz w:val="23"/>
          <w:szCs w:val="23"/>
        </w:rPr>
        <w:t xml:space="preserve">principalmente </w:t>
      </w:r>
      <w:r w:rsidR="00D35151">
        <w:rPr>
          <w:rFonts w:ascii="Times New Roman" w:hAnsi="Times New Roman" w:cs="Times New Roman"/>
          <w:b/>
          <w:sz w:val="23"/>
          <w:szCs w:val="23"/>
        </w:rPr>
        <w:t>como resultado de la apreciación del peso</w:t>
      </w:r>
      <w:r w:rsidR="00971479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y </w:t>
      </w:r>
      <w:r w:rsidR="00971479">
        <w:rPr>
          <w:rFonts w:ascii="Times New Roman" w:hAnsi="Times New Roman" w:cs="Times New Roman"/>
          <w:b/>
          <w:sz w:val="23"/>
          <w:szCs w:val="23"/>
        </w:rPr>
        <w:t xml:space="preserve">secundariamente por </w:t>
      </w:r>
      <w:r w:rsidR="0065390F">
        <w:rPr>
          <w:rFonts w:ascii="Times New Roman" w:hAnsi="Times New Roman" w:cs="Times New Roman"/>
          <w:b/>
          <w:sz w:val="23"/>
          <w:szCs w:val="23"/>
        </w:rPr>
        <w:t xml:space="preserve">la menor </w:t>
      </w:r>
      <w:r>
        <w:rPr>
          <w:rFonts w:ascii="Times New Roman" w:hAnsi="Times New Roman" w:cs="Times New Roman"/>
          <w:b/>
          <w:sz w:val="23"/>
          <w:szCs w:val="23"/>
        </w:rPr>
        <w:t xml:space="preserve">inflación </w:t>
      </w:r>
      <w:r w:rsidR="00971479">
        <w:rPr>
          <w:rFonts w:ascii="Times New Roman" w:hAnsi="Times New Roman" w:cs="Times New Roman"/>
          <w:b/>
          <w:sz w:val="23"/>
          <w:szCs w:val="23"/>
        </w:rPr>
        <w:t>de servicios</w:t>
      </w:r>
      <w:r w:rsidR="00A24BF5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="002D6222" w:rsidRPr="00DF6C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7147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76D6E">
        <w:rPr>
          <w:rFonts w:ascii="Times New Roman" w:hAnsi="Times New Roman" w:cs="Times New Roman"/>
          <w:b/>
          <w:sz w:val="23"/>
          <w:szCs w:val="23"/>
        </w:rPr>
        <w:t xml:space="preserve">En </w:t>
      </w:r>
      <w:r w:rsidR="0065390F">
        <w:rPr>
          <w:rFonts w:ascii="Times New Roman" w:hAnsi="Times New Roman" w:cs="Times New Roman"/>
          <w:b/>
          <w:sz w:val="23"/>
          <w:szCs w:val="23"/>
        </w:rPr>
        <w:t xml:space="preserve">un </w:t>
      </w:r>
      <w:r w:rsidR="00876D6E">
        <w:rPr>
          <w:rFonts w:ascii="Times New Roman" w:hAnsi="Times New Roman" w:cs="Times New Roman"/>
          <w:b/>
          <w:sz w:val="23"/>
          <w:szCs w:val="23"/>
        </w:rPr>
        <w:t>contexto</w:t>
      </w:r>
      <w:r w:rsidR="00103776">
        <w:rPr>
          <w:rFonts w:ascii="Times New Roman" w:hAnsi="Times New Roman" w:cs="Times New Roman"/>
          <w:b/>
          <w:sz w:val="23"/>
          <w:szCs w:val="23"/>
        </w:rPr>
        <w:t xml:space="preserve"> de inflación </w:t>
      </w:r>
      <w:r w:rsidR="0065390F">
        <w:rPr>
          <w:rFonts w:ascii="Times New Roman" w:hAnsi="Times New Roman" w:cs="Times New Roman"/>
          <w:b/>
          <w:sz w:val="23"/>
          <w:szCs w:val="23"/>
        </w:rPr>
        <w:t xml:space="preserve">decreciente y </w:t>
      </w:r>
      <w:r w:rsidR="00103776">
        <w:rPr>
          <w:rFonts w:ascii="Times New Roman" w:hAnsi="Times New Roman" w:cs="Times New Roman"/>
          <w:b/>
          <w:sz w:val="23"/>
          <w:szCs w:val="23"/>
        </w:rPr>
        <w:t>bajo la meta</w:t>
      </w:r>
      <w:r w:rsidR="00876D6E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8A40CB">
        <w:rPr>
          <w:rFonts w:ascii="Times New Roman" w:hAnsi="Times New Roman" w:cs="Times New Roman"/>
          <w:b/>
          <w:sz w:val="23"/>
          <w:szCs w:val="23"/>
        </w:rPr>
        <w:t>y co</w:t>
      </w:r>
      <w:r w:rsidR="0065390F">
        <w:rPr>
          <w:rFonts w:ascii="Times New Roman" w:hAnsi="Times New Roman" w:cs="Times New Roman"/>
          <w:b/>
          <w:sz w:val="23"/>
          <w:szCs w:val="23"/>
        </w:rPr>
        <w:t xml:space="preserve">n </w:t>
      </w:r>
      <w:r w:rsidR="00AC15D4">
        <w:rPr>
          <w:rFonts w:ascii="Times New Roman" w:hAnsi="Times New Roman" w:cs="Times New Roman"/>
          <w:b/>
          <w:sz w:val="23"/>
          <w:szCs w:val="23"/>
        </w:rPr>
        <w:t xml:space="preserve">brechas </w:t>
      </w:r>
      <w:r w:rsidR="00971479">
        <w:rPr>
          <w:rFonts w:ascii="Times New Roman" w:hAnsi="Times New Roman" w:cs="Times New Roman"/>
          <w:b/>
          <w:sz w:val="23"/>
          <w:szCs w:val="23"/>
        </w:rPr>
        <w:t xml:space="preserve">de capacidad </w:t>
      </w:r>
      <w:r w:rsidR="0065390F">
        <w:rPr>
          <w:rFonts w:ascii="Times New Roman" w:hAnsi="Times New Roman" w:cs="Times New Roman"/>
          <w:b/>
          <w:sz w:val="23"/>
          <w:szCs w:val="23"/>
        </w:rPr>
        <w:t xml:space="preserve">significativas y </w:t>
      </w:r>
      <w:r w:rsidR="00AC15D4">
        <w:rPr>
          <w:rFonts w:ascii="Times New Roman" w:hAnsi="Times New Roman" w:cs="Times New Roman"/>
          <w:b/>
          <w:sz w:val="23"/>
          <w:szCs w:val="23"/>
        </w:rPr>
        <w:t>ampli</w:t>
      </w:r>
      <w:r w:rsidR="0065390F">
        <w:rPr>
          <w:rFonts w:ascii="Times New Roman" w:hAnsi="Times New Roman" w:cs="Times New Roman"/>
          <w:b/>
          <w:sz w:val="23"/>
          <w:szCs w:val="23"/>
        </w:rPr>
        <w:t>á</w:t>
      </w:r>
      <w:r w:rsidR="00AC15D4">
        <w:rPr>
          <w:rFonts w:ascii="Times New Roman" w:hAnsi="Times New Roman" w:cs="Times New Roman"/>
          <w:b/>
          <w:sz w:val="23"/>
          <w:szCs w:val="23"/>
        </w:rPr>
        <w:t>ndo</w:t>
      </w:r>
      <w:r w:rsidR="0065390F">
        <w:rPr>
          <w:rFonts w:ascii="Times New Roman" w:hAnsi="Times New Roman" w:cs="Times New Roman"/>
          <w:b/>
          <w:sz w:val="23"/>
          <w:szCs w:val="23"/>
        </w:rPr>
        <w:t>se</w:t>
      </w:r>
      <w:r w:rsidR="00AC15D4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2D6222" w:rsidRPr="00DF6CD7">
        <w:rPr>
          <w:rFonts w:ascii="Times New Roman" w:hAnsi="Times New Roman" w:cs="Times New Roman"/>
          <w:b/>
          <w:sz w:val="23"/>
          <w:szCs w:val="23"/>
        </w:rPr>
        <w:t xml:space="preserve">el GPM recomienda </w:t>
      </w:r>
      <w:r w:rsidR="008A40CB">
        <w:rPr>
          <w:rFonts w:ascii="Times New Roman" w:hAnsi="Times New Roman" w:cs="Times New Roman"/>
          <w:b/>
          <w:sz w:val="23"/>
          <w:szCs w:val="23"/>
        </w:rPr>
        <w:t xml:space="preserve">una baja de 25 puntos base en </w:t>
      </w:r>
      <w:r w:rsidR="002D6222" w:rsidRPr="00DF6CD7">
        <w:rPr>
          <w:rFonts w:ascii="Times New Roman" w:hAnsi="Times New Roman" w:cs="Times New Roman"/>
          <w:b/>
          <w:sz w:val="23"/>
          <w:szCs w:val="23"/>
        </w:rPr>
        <w:t>la TPM</w:t>
      </w:r>
      <w:r w:rsidR="00C06105">
        <w:rPr>
          <w:rFonts w:ascii="Times New Roman" w:hAnsi="Times New Roman" w:cs="Times New Roman"/>
          <w:b/>
          <w:sz w:val="23"/>
          <w:szCs w:val="23"/>
        </w:rPr>
        <w:t>,</w:t>
      </w:r>
      <w:r w:rsidR="008A40CB">
        <w:rPr>
          <w:rFonts w:ascii="Times New Roman" w:hAnsi="Times New Roman" w:cs="Times New Roman"/>
          <w:b/>
          <w:sz w:val="23"/>
          <w:szCs w:val="23"/>
        </w:rPr>
        <w:t xml:space="preserve"> manteniendo una posición flexible respecto de las acciones futuras</w:t>
      </w:r>
      <w:r w:rsidR="002D6222" w:rsidRPr="00DF6CD7">
        <w:rPr>
          <w:rFonts w:ascii="Times New Roman" w:hAnsi="Times New Roman" w:cs="Times New Roman"/>
          <w:b/>
          <w:sz w:val="23"/>
          <w:szCs w:val="23"/>
        </w:rPr>
        <w:t>.</w:t>
      </w:r>
    </w:p>
    <w:p w:rsidR="00A77923" w:rsidRDefault="00E11A22" w:rsidP="00A77923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En medio de la </w:t>
      </w:r>
      <w:r w:rsidR="0078084B">
        <w:rPr>
          <w:rFonts w:ascii="Times New Roman" w:hAnsi="Times New Roman" w:cs="Times New Roman"/>
          <w:sz w:val="23"/>
          <w:szCs w:val="23"/>
        </w:rPr>
        <w:t>recuperación del crecimiento global, l</w:t>
      </w:r>
      <w:r w:rsidR="0078084B" w:rsidRPr="006E0C98">
        <w:rPr>
          <w:rFonts w:ascii="Times New Roman" w:hAnsi="Times New Roman" w:cs="Times New Roman"/>
          <w:sz w:val="23"/>
          <w:szCs w:val="23"/>
        </w:rPr>
        <w:t xml:space="preserve">a actividad económica en Latinoamérica continúa </w:t>
      </w:r>
      <w:r w:rsidR="00C54217">
        <w:rPr>
          <w:rFonts w:ascii="Times New Roman" w:hAnsi="Times New Roman" w:cs="Times New Roman"/>
          <w:sz w:val="23"/>
          <w:szCs w:val="23"/>
        </w:rPr>
        <w:t>estancada,</w:t>
      </w:r>
      <w:r w:rsidR="0078084B">
        <w:rPr>
          <w:rFonts w:ascii="Times New Roman" w:hAnsi="Times New Roman" w:cs="Times New Roman"/>
          <w:sz w:val="23"/>
          <w:szCs w:val="23"/>
        </w:rPr>
        <w:t xml:space="preserve"> </w:t>
      </w:r>
      <w:r w:rsidR="0078084B" w:rsidRPr="006E0C98">
        <w:rPr>
          <w:rFonts w:ascii="Times New Roman" w:hAnsi="Times New Roman" w:cs="Times New Roman"/>
          <w:sz w:val="23"/>
          <w:szCs w:val="23"/>
        </w:rPr>
        <w:t xml:space="preserve">marcada por crisis políticas en Brasil y Venezuela y una lenta </w:t>
      </w:r>
      <w:r w:rsidR="00377F4F">
        <w:rPr>
          <w:rFonts w:ascii="Times New Roman" w:hAnsi="Times New Roman" w:cs="Times New Roman"/>
          <w:sz w:val="23"/>
          <w:szCs w:val="23"/>
        </w:rPr>
        <w:t xml:space="preserve">salida de la </w:t>
      </w:r>
      <w:r w:rsidR="0078084B" w:rsidRPr="006E0C98">
        <w:rPr>
          <w:rFonts w:ascii="Times New Roman" w:hAnsi="Times New Roman" w:cs="Times New Roman"/>
          <w:sz w:val="23"/>
          <w:szCs w:val="23"/>
        </w:rPr>
        <w:t xml:space="preserve">recesión en Argentina.  </w:t>
      </w:r>
      <w:r w:rsidR="0078084B">
        <w:rPr>
          <w:rFonts w:ascii="Times New Roman" w:hAnsi="Times New Roman" w:cs="Times New Roman"/>
          <w:sz w:val="23"/>
          <w:szCs w:val="23"/>
        </w:rPr>
        <w:t xml:space="preserve">Al mismo tiempo, la </w:t>
      </w:r>
      <w:r w:rsidR="00A77923" w:rsidRPr="005063F3">
        <w:rPr>
          <w:rFonts w:ascii="Times New Roman" w:hAnsi="Times New Roman" w:cs="Times New Roman"/>
          <w:sz w:val="23"/>
          <w:szCs w:val="23"/>
        </w:rPr>
        <w:t xml:space="preserve">recuperación de la economía norteamericana </w:t>
      </w:r>
      <w:r w:rsidR="00A24BF5">
        <w:rPr>
          <w:rFonts w:ascii="Times New Roman" w:hAnsi="Times New Roman" w:cs="Times New Roman"/>
          <w:sz w:val="23"/>
          <w:szCs w:val="23"/>
        </w:rPr>
        <w:t xml:space="preserve">ha sido puesta en entredicho por señales mixtas </w:t>
      </w:r>
      <w:proofErr w:type="spellStart"/>
      <w:r w:rsidR="00A24BF5">
        <w:rPr>
          <w:rFonts w:ascii="Times New Roman" w:hAnsi="Times New Roman" w:cs="Times New Roman"/>
          <w:sz w:val="23"/>
          <w:szCs w:val="23"/>
        </w:rPr>
        <w:t>y</w:t>
      </w:r>
      <w:proofErr w:type="spellEnd"/>
      <w:r w:rsidR="00A24BF5">
        <w:rPr>
          <w:rFonts w:ascii="Times New Roman" w:hAnsi="Times New Roman" w:cs="Times New Roman"/>
          <w:sz w:val="23"/>
          <w:szCs w:val="23"/>
        </w:rPr>
        <w:t xml:space="preserve"> al</w:t>
      </w:r>
      <w:r w:rsidR="00A77923">
        <w:rPr>
          <w:rFonts w:ascii="Times New Roman" w:hAnsi="Times New Roman" w:cs="Times New Roman"/>
          <w:sz w:val="23"/>
          <w:szCs w:val="23"/>
        </w:rPr>
        <w:t xml:space="preserve"> intensificarse </w:t>
      </w:r>
      <w:r w:rsidR="00A77923" w:rsidRPr="005063F3">
        <w:rPr>
          <w:rFonts w:ascii="Times New Roman" w:hAnsi="Times New Roman" w:cs="Times New Roman"/>
          <w:sz w:val="23"/>
          <w:szCs w:val="23"/>
        </w:rPr>
        <w:t>el conflicto político y</w:t>
      </w:r>
      <w:r w:rsidR="00A77923">
        <w:rPr>
          <w:rFonts w:ascii="Times New Roman" w:hAnsi="Times New Roman" w:cs="Times New Roman"/>
          <w:sz w:val="23"/>
          <w:szCs w:val="23"/>
        </w:rPr>
        <w:t xml:space="preserve"> postergarse la definición de cursos de acción </w:t>
      </w:r>
      <w:r>
        <w:rPr>
          <w:rFonts w:ascii="Times New Roman" w:hAnsi="Times New Roman" w:cs="Times New Roman"/>
          <w:sz w:val="23"/>
          <w:szCs w:val="23"/>
        </w:rPr>
        <w:t xml:space="preserve">futuros </w:t>
      </w:r>
      <w:r w:rsidR="00A77923">
        <w:rPr>
          <w:rFonts w:ascii="Times New Roman" w:hAnsi="Times New Roman" w:cs="Times New Roman"/>
          <w:sz w:val="23"/>
          <w:szCs w:val="23"/>
        </w:rPr>
        <w:t xml:space="preserve">en política </w:t>
      </w:r>
      <w:r w:rsidR="0078084B">
        <w:rPr>
          <w:rFonts w:ascii="Times New Roman" w:hAnsi="Times New Roman" w:cs="Times New Roman"/>
          <w:sz w:val="23"/>
          <w:szCs w:val="23"/>
        </w:rPr>
        <w:t>económica</w:t>
      </w:r>
      <w:r w:rsidR="00A77923">
        <w:rPr>
          <w:rFonts w:ascii="Times New Roman" w:hAnsi="Times New Roman" w:cs="Times New Roman"/>
          <w:sz w:val="23"/>
          <w:szCs w:val="23"/>
        </w:rPr>
        <w:t xml:space="preserve">. </w:t>
      </w:r>
      <w:r w:rsidR="00B23A3D">
        <w:rPr>
          <w:rFonts w:ascii="Times New Roman" w:hAnsi="Times New Roman" w:cs="Times New Roman"/>
          <w:sz w:val="23"/>
          <w:szCs w:val="23"/>
        </w:rPr>
        <w:t xml:space="preserve"> </w:t>
      </w:r>
      <w:r w:rsidR="00A77923">
        <w:rPr>
          <w:rFonts w:ascii="Times New Roman" w:hAnsi="Times New Roman" w:cs="Times New Roman"/>
          <w:sz w:val="23"/>
          <w:szCs w:val="23"/>
        </w:rPr>
        <w:t xml:space="preserve">En </w:t>
      </w:r>
      <w:r w:rsidR="00C54217">
        <w:rPr>
          <w:rFonts w:ascii="Times New Roman" w:hAnsi="Times New Roman" w:cs="Times New Roman"/>
          <w:sz w:val="23"/>
          <w:szCs w:val="23"/>
        </w:rPr>
        <w:t xml:space="preserve">el último reporte del </w:t>
      </w:r>
      <w:r w:rsidR="00A77923">
        <w:rPr>
          <w:rFonts w:ascii="Times New Roman" w:hAnsi="Times New Roman" w:cs="Times New Roman"/>
          <w:sz w:val="23"/>
          <w:szCs w:val="23"/>
        </w:rPr>
        <w:t xml:space="preserve">FMI </w:t>
      </w:r>
      <w:r w:rsidR="00C54217">
        <w:rPr>
          <w:rFonts w:ascii="Times New Roman" w:hAnsi="Times New Roman" w:cs="Times New Roman"/>
          <w:sz w:val="23"/>
          <w:szCs w:val="23"/>
        </w:rPr>
        <w:t xml:space="preserve">se indica que </w:t>
      </w:r>
      <w:r w:rsidR="00A77923">
        <w:rPr>
          <w:rFonts w:ascii="Times New Roman" w:hAnsi="Times New Roman" w:cs="Times New Roman"/>
          <w:sz w:val="23"/>
          <w:szCs w:val="23"/>
        </w:rPr>
        <w:t xml:space="preserve">la economía norteamericana se encuentra en pleno empleo </w:t>
      </w:r>
      <w:r w:rsidR="00B23A3D">
        <w:rPr>
          <w:rFonts w:ascii="Times New Roman" w:hAnsi="Times New Roman" w:cs="Times New Roman"/>
          <w:sz w:val="23"/>
          <w:szCs w:val="23"/>
        </w:rPr>
        <w:t xml:space="preserve">y </w:t>
      </w:r>
      <w:r w:rsidR="00A77923">
        <w:rPr>
          <w:rFonts w:ascii="Times New Roman" w:hAnsi="Times New Roman" w:cs="Times New Roman"/>
          <w:sz w:val="23"/>
          <w:szCs w:val="23"/>
        </w:rPr>
        <w:t xml:space="preserve">con </w:t>
      </w:r>
      <w:r w:rsidR="00C54217">
        <w:rPr>
          <w:rFonts w:ascii="Times New Roman" w:hAnsi="Times New Roman" w:cs="Times New Roman"/>
          <w:sz w:val="23"/>
          <w:szCs w:val="23"/>
        </w:rPr>
        <w:t xml:space="preserve">una </w:t>
      </w:r>
      <w:r w:rsidR="00B23A3D">
        <w:rPr>
          <w:rFonts w:ascii="Times New Roman" w:hAnsi="Times New Roman" w:cs="Times New Roman"/>
          <w:sz w:val="23"/>
          <w:szCs w:val="23"/>
        </w:rPr>
        <w:t xml:space="preserve">tasa de </w:t>
      </w:r>
      <w:r w:rsidR="00A77923">
        <w:rPr>
          <w:rFonts w:ascii="Times New Roman" w:hAnsi="Times New Roman" w:cs="Times New Roman"/>
          <w:sz w:val="23"/>
          <w:szCs w:val="23"/>
        </w:rPr>
        <w:t xml:space="preserve">crecimiento </w:t>
      </w:r>
      <w:r w:rsidR="005063F3">
        <w:rPr>
          <w:rFonts w:ascii="Times New Roman" w:hAnsi="Times New Roman" w:cs="Times New Roman"/>
          <w:sz w:val="23"/>
          <w:szCs w:val="23"/>
        </w:rPr>
        <w:t xml:space="preserve">tendencial </w:t>
      </w:r>
      <w:r w:rsidR="00A77923">
        <w:rPr>
          <w:rFonts w:ascii="Times New Roman" w:hAnsi="Times New Roman" w:cs="Times New Roman"/>
          <w:sz w:val="23"/>
          <w:szCs w:val="23"/>
        </w:rPr>
        <w:t>más bien lent</w:t>
      </w:r>
      <w:r w:rsidR="00B23A3D">
        <w:rPr>
          <w:rFonts w:ascii="Times New Roman" w:hAnsi="Times New Roman" w:cs="Times New Roman"/>
          <w:sz w:val="23"/>
          <w:szCs w:val="23"/>
        </w:rPr>
        <w:t>a</w:t>
      </w:r>
      <w:r w:rsidR="00A77923">
        <w:rPr>
          <w:rFonts w:ascii="Times New Roman" w:hAnsi="Times New Roman" w:cs="Times New Roman"/>
          <w:sz w:val="23"/>
          <w:szCs w:val="23"/>
        </w:rPr>
        <w:t xml:space="preserve">. Elevar la tasa de crecimiento de la capacidad productiva </w:t>
      </w:r>
      <w:r w:rsidR="00B23A3D">
        <w:rPr>
          <w:rFonts w:ascii="Times New Roman" w:hAnsi="Times New Roman" w:cs="Times New Roman"/>
          <w:sz w:val="23"/>
          <w:szCs w:val="23"/>
        </w:rPr>
        <w:t xml:space="preserve">parece </w:t>
      </w:r>
      <w:r w:rsidR="00A77923">
        <w:rPr>
          <w:rFonts w:ascii="Times New Roman" w:hAnsi="Times New Roman" w:cs="Times New Roman"/>
          <w:sz w:val="23"/>
          <w:szCs w:val="23"/>
        </w:rPr>
        <w:t xml:space="preserve">muy difícil </w:t>
      </w:r>
      <w:r w:rsidR="00B23A3D">
        <w:rPr>
          <w:rFonts w:ascii="Times New Roman" w:hAnsi="Times New Roman" w:cs="Times New Roman"/>
          <w:sz w:val="23"/>
          <w:szCs w:val="23"/>
        </w:rPr>
        <w:t xml:space="preserve">por </w:t>
      </w:r>
      <w:r w:rsidR="0078084B">
        <w:rPr>
          <w:rFonts w:ascii="Times New Roman" w:hAnsi="Times New Roman" w:cs="Times New Roman"/>
          <w:sz w:val="23"/>
          <w:szCs w:val="23"/>
        </w:rPr>
        <w:t xml:space="preserve">la magnitud de </w:t>
      </w:r>
      <w:r w:rsidR="00B23A3D">
        <w:rPr>
          <w:rFonts w:ascii="Times New Roman" w:hAnsi="Times New Roman" w:cs="Times New Roman"/>
          <w:sz w:val="23"/>
          <w:szCs w:val="23"/>
        </w:rPr>
        <w:t>las reformas requeridas</w:t>
      </w:r>
      <w:r w:rsidR="005063F3">
        <w:rPr>
          <w:rFonts w:ascii="Times New Roman" w:hAnsi="Times New Roman" w:cs="Times New Roman"/>
          <w:sz w:val="23"/>
          <w:szCs w:val="23"/>
        </w:rPr>
        <w:t xml:space="preserve"> y las demoras de implementación y efectividad</w:t>
      </w:r>
      <w:r w:rsidR="0078084B">
        <w:rPr>
          <w:rFonts w:ascii="Times New Roman" w:hAnsi="Times New Roman" w:cs="Times New Roman"/>
          <w:sz w:val="23"/>
          <w:szCs w:val="23"/>
        </w:rPr>
        <w:t xml:space="preserve">, </w:t>
      </w:r>
      <w:r w:rsidR="00B23A3D">
        <w:rPr>
          <w:rFonts w:ascii="Times New Roman" w:hAnsi="Times New Roman" w:cs="Times New Roman"/>
          <w:sz w:val="23"/>
          <w:szCs w:val="23"/>
        </w:rPr>
        <w:t xml:space="preserve">por lo que </w:t>
      </w:r>
      <w:r w:rsidR="00A77923">
        <w:rPr>
          <w:rFonts w:ascii="Times New Roman" w:hAnsi="Times New Roman" w:cs="Times New Roman"/>
          <w:sz w:val="23"/>
          <w:szCs w:val="23"/>
        </w:rPr>
        <w:t xml:space="preserve">el énfasis </w:t>
      </w:r>
      <w:r w:rsidR="00B23A3D">
        <w:rPr>
          <w:rFonts w:ascii="Times New Roman" w:hAnsi="Times New Roman" w:cs="Times New Roman"/>
          <w:sz w:val="23"/>
          <w:szCs w:val="23"/>
        </w:rPr>
        <w:t xml:space="preserve">de política </w:t>
      </w:r>
      <w:r w:rsidR="00A77923">
        <w:rPr>
          <w:rFonts w:ascii="Times New Roman" w:hAnsi="Times New Roman" w:cs="Times New Roman"/>
          <w:sz w:val="23"/>
          <w:szCs w:val="23"/>
        </w:rPr>
        <w:t xml:space="preserve">debería estar en el retiro del estímulo monetario y fiscal. </w:t>
      </w:r>
      <w:r w:rsidR="00B23A3D">
        <w:rPr>
          <w:rFonts w:ascii="Times New Roman" w:hAnsi="Times New Roman" w:cs="Times New Roman"/>
          <w:sz w:val="23"/>
          <w:szCs w:val="23"/>
        </w:rPr>
        <w:t xml:space="preserve">Aún con </w:t>
      </w:r>
      <w:r w:rsidR="005063F3">
        <w:rPr>
          <w:rFonts w:ascii="Times New Roman" w:hAnsi="Times New Roman" w:cs="Times New Roman"/>
          <w:sz w:val="23"/>
          <w:szCs w:val="23"/>
        </w:rPr>
        <w:t xml:space="preserve">el ajuste </w:t>
      </w:r>
      <w:r w:rsidR="00B23A3D">
        <w:rPr>
          <w:rFonts w:ascii="Times New Roman" w:hAnsi="Times New Roman" w:cs="Times New Roman"/>
          <w:sz w:val="23"/>
          <w:szCs w:val="23"/>
        </w:rPr>
        <w:t>en materia fiscal prácticamente paralizad</w:t>
      </w:r>
      <w:r w:rsidR="005063F3">
        <w:rPr>
          <w:rFonts w:ascii="Times New Roman" w:hAnsi="Times New Roman" w:cs="Times New Roman"/>
          <w:sz w:val="23"/>
          <w:szCs w:val="23"/>
        </w:rPr>
        <w:t>o</w:t>
      </w:r>
      <w:r w:rsidR="00B23A3D">
        <w:rPr>
          <w:rFonts w:ascii="Times New Roman" w:hAnsi="Times New Roman" w:cs="Times New Roman"/>
          <w:sz w:val="23"/>
          <w:szCs w:val="23"/>
        </w:rPr>
        <w:t xml:space="preserve">, </w:t>
      </w:r>
      <w:r w:rsidR="00A77923">
        <w:rPr>
          <w:rFonts w:ascii="Times New Roman" w:hAnsi="Times New Roman" w:cs="Times New Roman"/>
          <w:sz w:val="23"/>
          <w:szCs w:val="23"/>
        </w:rPr>
        <w:t xml:space="preserve">los </w:t>
      </w:r>
      <w:r w:rsidR="00A77923" w:rsidRPr="005063F3">
        <w:rPr>
          <w:rFonts w:ascii="Times New Roman" w:hAnsi="Times New Roman" w:cs="Times New Roman"/>
          <w:sz w:val="23"/>
          <w:szCs w:val="23"/>
        </w:rPr>
        <w:t xml:space="preserve">mercados esperan que </w:t>
      </w:r>
      <w:r>
        <w:rPr>
          <w:rFonts w:ascii="Times New Roman" w:hAnsi="Times New Roman" w:cs="Times New Roman"/>
          <w:sz w:val="23"/>
          <w:szCs w:val="23"/>
        </w:rPr>
        <w:t xml:space="preserve">cualquier </w:t>
      </w:r>
      <w:r w:rsidR="00A77923" w:rsidRPr="005063F3">
        <w:rPr>
          <w:rFonts w:ascii="Times New Roman" w:hAnsi="Times New Roman" w:cs="Times New Roman"/>
          <w:sz w:val="23"/>
          <w:szCs w:val="23"/>
        </w:rPr>
        <w:t>retiro</w:t>
      </w:r>
      <w:r w:rsidR="005063F3">
        <w:rPr>
          <w:rFonts w:ascii="Times New Roman" w:hAnsi="Times New Roman" w:cs="Times New Roman"/>
          <w:sz w:val="23"/>
          <w:szCs w:val="23"/>
        </w:rPr>
        <w:t xml:space="preserve"> significativo</w:t>
      </w:r>
      <w:r w:rsidR="00A77923" w:rsidRPr="005063F3">
        <w:rPr>
          <w:rFonts w:ascii="Times New Roman" w:hAnsi="Times New Roman" w:cs="Times New Roman"/>
          <w:sz w:val="23"/>
          <w:szCs w:val="23"/>
        </w:rPr>
        <w:t xml:space="preserve"> del estímulo monetario </w:t>
      </w:r>
      <w:r w:rsidR="00B23A3D">
        <w:rPr>
          <w:rFonts w:ascii="Times New Roman" w:hAnsi="Times New Roman" w:cs="Times New Roman"/>
          <w:sz w:val="23"/>
          <w:szCs w:val="23"/>
        </w:rPr>
        <w:t xml:space="preserve">siga siendo </w:t>
      </w:r>
      <w:r w:rsidR="005063F3">
        <w:rPr>
          <w:rFonts w:ascii="Times New Roman" w:hAnsi="Times New Roman" w:cs="Times New Roman"/>
          <w:sz w:val="23"/>
          <w:szCs w:val="23"/>
        </w:rPr>
        <w:t xml:space="preserve">postergado </w:t>
      </w:r>
      <w:r w:rsidR="00B23A3D">
        <w:rPr>
          <w:rFonts w:ascii="Times New Roman" w:hAnsi="Times New Roman" w:cs="Times New Roman"/>
          <w:sz w:val="23"/>
          <w:szCs w:val="23"/>
        </w:rPr>
        <w:t xml:space="preserve">según lo indica la </w:t>
      </w:r>
      <w:r w:rsidR="00A77923">
        <w:rPr>
          <w:rFonts w:ascii="Times New Roman" w:hAnsi="Times New Roman" w:cs="Times New Roman"/>
          <w:sz w:val="23"/>
          <w:szCs w:val="23"/>
        </w:rPr>
        <w:t xml:space="preserve">estructura de tasas de interés </w:t>
      </w:r>
      <w:r w:rsidR="00B23A3D">
        <w:rPr>
          <w:rFonts w:ascii="Times New Roman" w:hAnsi="Times New Roman" w:cs="Times New Roman"/>
          <w:sz w:val="23"/>
          <w:szCs w:val="23"/>
        </w:rPr>
        <w:t>de corto y mediano plazo. I</w:t>
      </w:r>
      <w:r w:rsidR="00A77923">
        <w:rPr>
          <w:rFonts w:ascii="Times New Roman" w:hAnsi="Times New Roman" w:cs="Times New Roman"/>
          <w:sz w:val="23"/>
          <w:szCs w:val="23"/>
        </w:rPr>
        <w:t>mplícit</w:t>
      </w:r>
      <w:r w:rsidR="00B23A3D">
        <w:rPr>
          <w:rFonts w:ascii="Times New Roman" w:hAnsi="Times New Roman" w:cs="Times New Roman"/>
          <w:sz w:val="23"/>
          <w:szCs w:val="23"/>
        </w:rPr>
        <w:t xml:space="preserve">o en </w:t>
      </w:r>
      <w:r w:rsidR="005063F3">
        <w:rPr>
          <w:rFonts w:ascii="Times New Roman" w:hAnsi="Times New Roman" w:cs="Times New Roman"/>
          <w:sz w:val="23"/>
          <w:szCs w:val="23"/>
        </w:rPr>
        <w:t>e</w:t>
      </w:r>
      <w:r w:rsidR="00B23A3D">
        <w:rPr>
          <w:rFonts w:ascii="Times New Roman" w:hAnsi="Times New Roman" w:cs="Times New Roman"/>
          <w:sz w:val="23"/>
          <w:szCs w:val="23"/>
        </w:rPr>
        <w:t xml:space="preserve">sta </w:t>
      </w:r>
      <w:r>
        <w:rPr>
          <w:rFonts w:ascii="Times New Roman" w:hAnsi="Times New Roman" w:cs="Times New Roman"/>
          <w:sz w:val="23"/>
          <w:szCs w:val="23"/>
        </w:rPr>
        <w:t xml:space="preserve">estructura </w:t>
      </w:r>
      <w:r w:rsidR="00B23A3D">
        <w:rPr>
          <w:rFonts w:ascii="Times New Roman" w:hAnsi="Times New Roman" w:cs="Times New Roman"/>
          <w:sz w:val="23"/>
          <w:szCs w:val="23"/>
        </w:rPr>
        <w:t xml:space="preserve">hay expectativas de que las </w:t>
      </w:r>
      <w:r w:rsidR="00A77923">
        <w:rPr>
          <w:rFonts w:ascii="Times New Roman" w:hAnsi="Times New Roman" w:cs="Times New Roman"/>
          <w:sz w:val="23"/>
          <w:szCs w:val="23"/>
        </w:rPr>
        <w:t xml:space="preserve">alzas </w:t>
      </w:r>
      <w:r>
        <w:rPr>
          <w:rFonts w:ascii="Times New Roman" w:hAnsi="Times New Roman" w:cs="Times New Roman"/>
          <w:sz w:val="23"/>
          <w:szCs w:val="23"/>
        </w:rPr>
        <w:t xml:space="preserve">importantes </w:t>
      </w:r>
      <w:r w:rsidR="00B23A3D">
        <w:rPr>
          <w:rFonts w:ascii="Times New Roman" w:hAnsi="Times New Roman" w:cs="Times New Roman"/>
          <w:sz w:val="23"/>
          <w:szCs w:val="23"/>
        </w:rPr>
        <w:t xml:space="preserve">en la tasa de fondos federales no vendrán antes </w:t>
      </w:r>
      <w:r w:rsidR="00A77923">
        <w:rPr>
          <w:rFonts w:ascii="Times New Roman" w:hAnsi="Times New Roman" w:cs="Times New Roman"/>
          <w:sz w:val="23"/>
          <w:szCs w:val="23"/>
        </w:rPr>
        <w:t>de dos años plazo</w:t>
      </w:r>
      <w:r w:rsidR="00B23A3D">
        <w:rPr>
          <w:rFonts w:ascii="Times New Roman" w:hAnsi="Times New Roman" w:cs="Times New Roman"/>
          <w:sz w:val="23"/>
          <w:szCs w:val="23"/>
        </w:rPr>
        <w:t xml:space="preserve">, e incluso que hacia fines de </w:t>
      </w:r>
      <w:r w:rsidR="00A77923">
        <w:rPr>
          <w:rFonts w:ascii="Times New Roman" w:hAnsi="Times New Roman" w:cs="Times New Roman"/>
          <w:sz w:val="23"/>
          <w:szCs w:val="23"/>
        </w:rPr>
        <w:t xml:space="preserve">2019 </w:t>
      </w:r>
      <w:r>
        <w:rPr>
          <w:rFonts w:ascii="Times New Roman" w:hAnsi="Times New Roman" w:cs="Times New Roman"/>
          <w:sz w:val="23"/>
          <w:szCs w:val="23"/>
        </w:rPr>
        <w:t xml:space="preserve">la tasa </w:t>
      </w:r>
      <w:r w:rsidR="00B23A3D">
        <w:rPr>
          <w:rFonts w:ascii="Times New Roman" w:hAnsi="Times New Roman" w:cs="Times New Roman"/>
          <w:sz w:val="23"/>
          <w:szCs w:val="23"/>
        </w:rPr>
        <w:t xml:space="preserve">recién llegaría a </w:t>
      </w:r>
      <w:r w:rsidR="00A77923">
        <w:rPr>
          <w:rFonts w:ascii="Times New Roman" w:hAnsi="Times New Roman" w:cs="Times New Roman"/>
          <w:sz w:val="23"/>
          <w:szCs w:val="23"/>
        </w:rPr>
        <w:t xml:space="preserve">2%, lo que implica </w:t>
      </w:r>
      <w:r w:rsidR="0078084B">
        <w:rPr>
          <w:rFonts w:ascii="Times New Roman" w:hAnsi="Times New Roman" w:cs="Times New Roman"/>
          <w:sz w:val="23"/>
          <w:szCs w:val="23"/>
        </w:rPr>
        <w:t xml:space="preserve">tasas de interés reales negativas por los siguientes 18 meses. </w:t>
      </w:r>
      <w:r w:rsidR="00A77923">
        <w:rPr>
          <w:rFonts w:ascii="Times New Roman" w:hAnsi="Times New Roman" w:cs="Times New Roman"/>
          <w:sz w:val="23"/>
          <w:szCs w:val="23"/>
        </w:rPr>
        <w:t xml:space="preserve">   </w:t>
      </w:r>
      <w:r w:rsidR="00A77923" w:rsidRPr="005063F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77923" w:rsidRDefault="00A77923" w:rsidP="00A77923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5AF9" w:rsidRDefault="00A77923" w:rsidP="00A77923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063F3">
        <w:rPr>
          <w:rFonts w:ascii="Times New Roman" w:hAnsi="Times New Roman" w:cs="Times New Roman"/>
          <w:sz w:val="23"/>
          <w:szCs w:val="23"/>
        </w:rPr>
        <w:t>El valor del dólar se deteriora</w:t>
      </w:r>
      <w:r w:rsidR="00C06105">
        <w:rPr>
          <w:rFonts w:ascii="Times New Roman" w:hAnsi="Times New Roman" w:cs="Times New Roman"/>
          <w:sz w:val="23"/>
          <w:szCs w:val="23"/>
        </w:rPr>
        <w:t xml:space="preserve"> </w:t>
      </w:r>
      <w:r w:rsidR="00615AF9">
        <w:rPr>
          <w:rFonts w:ascii="Times New Roman" w:hAnsi="Times New Roman" w:cs="Times New Roman"/>
          <w:sz w:val="23"/>
          <w:szCs w:val="23"/>
        </w:rPr>
        <w:t xml:space="preserve">en relación a monedas avanzadas, </w:t>
      </w:r>
      <w:r w:rsidR="005063F3">
        <w:rPr>
          <w:rFonts w:ascii="Times New Roman" w:hAnsi="Times New Roman" w:cs="Times New Roman"/>
          <w:sz w:val="23"/>
          <w:szCs w:val="23"/>
        </w:rPr>
        <w:t xml:space="preserve">particularmente el Euro, </w:t>
      </w:r>
      <w:r w:rsidR="00615AF9">
        <w:rPr>
          <w:rFonts w:ascii="Times New Roman" w:hAnsi="Times New Roman" w:cs="Times New Roman"/>
          <w:sz w:val="23"/>
          <w:szCs w:val="23"/>
        </w:rPr>
        <w:t xml:space="preserve">revirtiendo la tendencia seguida a partir del Brexit. Los cambios políticos en los Estados Unidos luego de la elección de Trump y la derrota en Europa de </w:t>
      </w:r>
      <w:r w:rsidR="005063F3">
        <w:rPr>
          <w:rFonts w:ascii="Times New Roman" w:hAnsi="Times New Roman" w:cs="Times New Roman"/>
          <w:sz w:val="23"/>
          <w:szCs w:val="23"/>
        </w:rPr>
        <w:t xml:space="preserve">candidatos </w:t>
      </w:r>
      <w:r w:rsidR="00615AF9">
        <w:rPr>
          <w:rFonts w:ascii="Times New Roman" w:hAnsi="Times New Roman" w:cs="Times New Roman"/>
          <w:sz w:val="23"/>
          <w:szCs w:val="23"/>
        </w:rPr>
        <w:t xml:space="preserve">anti-integración parecen estar en el origen de la depreciación del USD. </w:t>
      </w:r>
      <w:r w:rsidR="0078084B">
        <w:rPr>
          <w:rFonts w:ascii="Times New Roman" w:hAnsi="Times New Roman" w:cs="Times New Roman"/>
          <w:sz w:val="23"/>
          <w:szCs w:val="23"/>
        </w:rPr>
        <w:t xml:space="preserve">Esto ha repercutido en el </w:t>
      </w:r>
      <w:r w:rsidR="00C54217">
        <w:rPr>
          <w:rFonts w:ascii="Times New Roman" w:hAnsi="Times New Roman" w:cs="Times New Roman"/>
          <w:sz w:val="23"/>
          <w:szCs w:val="23"/>
        </w:rPr>
        <w:t xml:space="preserve">tipo de cambio </w:t>
      </w:r>
      <w:r w:rsidR="0078084B">
        <w:rPr>
          <w:rFonts w:ascii="Times New Roman" w:hAnsi="Times New Roman" w:cs="Times New Roman"/>
          <w:sz w:val="23"/>
          <w:szCs w:val="23"/>
        </w:rPr>
        <w:t>peso</w:t>
      </w:r>
      <w:r w:rsidR="00C54217">
        <w:rPr>
          <w:rFonts w:ascii="Times New Roman" w:hAnsi="Times New Roman" w:cs="Times New Roman"/>
          <w:sz w:val="23"/>
          <w:szCs w:val="23"/>
        </w:rPr>
        <w:t>-dólar</w:t>
      </w:r>
      <w:r w:rsidR="0078084B">
        <w:rPr>
          <w:rFonts w:ascii="Times New Roman" w:hAnsi="Times New Roman" w:cs="Times New Roman"/>
          <w:sz w:val="23"/>
          <w:szCs w:val="23"/>
        </w:rPr>
        <w:t xml:space="preserve"> que </w:t>
      </w:r>
      <w:r w:rsidR="0021616B">
        <w:rPr>
          <w:rFonts w:ascii="Times New Roman" w:hAnsi="Times New Roman" w:cs="Times New Roman"/>
          <w:sz w:val="23"/>
          <w:szCs w:val="23"/>
        </w:rPr>
        <w:t xml:space="preserve">durante todo lo que va corrido de 2017 </w:t>
      </w:r>
      <w:r w:rsidR="0078084B">
        <w:rPr>
          <w:rFonts w:ascii="Times New Roman" w:hAnsi="Times New Roman" w:cs="Times New Roman"/>
          <w:sz w:val="23"/>
          <w:szCs w:val="23"/>
        </w:rPr>
        <w:t xml:space="preserve">se mantiene </w:t>
      </w:r>
      <w:r w:rsidR="00C54217">
        <w:rPr>
          <w:rFonts w:ascii="Times New Roman" w:hAnsi="Times New Roman" w:cs="Times New Roman"/>
          <w:sz w:val="23"/>
          <w:szCs w:val="23"/>
        </w:rPr>
        <w:t xml:space="preserve">reducido y menor </w:t>
      </w:r>
      <w:r w:rsidR="0021616B">
        <w:rPr>
          <w:rFonts w:ascii="Times New Roman" w:hAnsi="Times New Roman" w:cs="Times New Roman"/>
          <w:sz w:val="23"/>
          <w:szCs w:val="23"/>
        </w:rPr>
        <w:t>que en el mismo mes del año anterior</w:t>
      </w:r>
      <w:r w:rsidR="00C54217">
        <w:rPr>
          <w:rFonts w:ascii="Times New Roman" w:hAnsi="Times New Roman" w:cs="Times New Roman"/>
          <w:sz w:val="23"/>
          <w:szCs w:val="23"/>
        </w:rPr>
        <w:t xml:space="preserve">. </w:t>
      </w:r>
      <w:r w:rsidR="00C06105">
        <w:rPr>
          <w:rFonts w:ascii="Times New Roman" w:hAnsi="Times New Roman" w:cs="Times New Roman"/>
          <w:sz w:val="23"/>
          <w:szCs w:val="23"/>
        </w:rPr>
        <w:t xml:space="preserve"> </w:t>
      </w:r>
      <w:r w:rsidR="00615AF9">
        <w:rPr>
          <w:rFonts w:ascii="Times New Roman" w:hAnsi="Times New Roman" w:cs="Times New Roman"/>
          <w:sz w:val="23"/>
          <w:szCs w:val="23"/>
        </w:rPr>
        <w:t xml:space="preserve">A pesar del menor valor de la moneda norteamericana no existen </w:t>
      </w:r>
      <w:r w:rsidRPr="005063F3">
        <w:rPr>
          <w:rFonts w:ascii="Times New Roman" w:hAnsi="Times New Roman" w:cs="Times New Roman"/>
          <w:sz w:val="23"/>
          <w:szCs w:val="23"/>
        </w:rPr>
        <w:t xml:space="preserve">señales de un alza significativa </w:t>
      </w:r>
      <w:r w:rsidR="00615AF9">
        <w:rPr>
          <w:rFonts w:ascii="Times New Roman" w:hAnsi="Times New Roman" w:cs="Times New Roman"/>
          <w:sz w:val="23"/>
          <w:szCs w:val="23"/>
        </w:rPr>
        <w:t xml:space="preserve">y generalizada </w:t>
      </w:r>
      <w:r w:rsidRPr="005063F3">
        <w:rPr>
          <w:rFonts w:ascii="Times New Roman" w:hAnsi="Times New Roman" w:cs="Times New Roman"/>
          <w:sz w:val="23"/>
          <w:szCs w:val="23"/>
        </w:rPr>
        <w:t>en los precios de los “commodities”</w:t>
      </w:r>
      <w:r w:rsidR="0065390F">
        <w:rPr>
          <w:rFonts w:ascii="Times New Roman" w:hAnsi="Times New Roman" w:cs="Times New Roman"/>
          <w:sz w:val="23"/>
          <w:szCs w:val="23"/>
        </w:rPr>
        <w:t xml:space="preserve"> ni en los precios en dólares de los socios comerciales</w:t>
      </w:r>
      <w:r w:rsidR="00C54217">
        <w:rPr>
          <w:rFonts w:ascii="Times New Roman" w:hAnsi="Times New Roman" w:cs="Times New Roman"/>
          <w:sz w:val="23"/>
          <w:szCs w:val="23"/>
        </w:rPr>
        <w:t xml:space="preserve"> chilenos</w:t>
      </w:r>
      <w:r w:rsidRPr="005063F3">
        <w:rPr>
          <w:rFonts w:ascii="Times New Roman" w:hAnsi="Times New Roman" w:cs="Times New Roman"/>
          <w:sz w:val="23"/>
          <w:szCs w:val="23"/>
        </w:rPr>
        <w:t xml:space="preserve">. </w:t>
      </w:r>
      <w:r w:rsidR="00615AF9">
        <w:rPr>
          <w:rFonts w:ascii="Times New Roman" w:hAnsi="Times New Roman" w:cs="Times New Roman"/>
          <w:sz w:val="23"/>
          <w:szCs w:val="23"/>
        </w:rPr>
        <w:t xml:space="preserve">Los </w:t>
      </w:r>
      <w:r w:rsidR="00C54217">
        <w:rPr>
          <w:rFonts w:ascii="Times New Roman" w:hAnsi="Times New Roman" w:cs="Times New Roman"/>
          <w:sz w:val="23"/>
          <w:szCs w:val="23"/>
        </w:rPr>
        <w:t>precios de granos</w:t>
      </w:r>
      <w:r w:rsidR="00615AF9">
        <w:rPr>
          <w:rFonts w:ascii="Times New Roman" w:hAnsi="Times New Roman" w:cs="Times New Roman"/>
          <w:sz w:val="23"/>
          <w:szCs w:val="23"/>
        </w:rPr>
        <w:t xml:space="preserve">, </w:t>
      </w:r>
      <w:r w:rsidR="00C54217">
        <w:rPr>
          <w:rFonts w:ascii="Times New Roman" w:hAnsi="Times New Roman" w:cs="Times New Roman"/>
          <w:sz w:val="23"/>
          <w:szCs w:val="23"/>
        </w:rPr>
        <w:t xml:space="preserve">del </w:t>
      </w:r>
      <w:r w:rsidR="00615AF9">
        <w:rPr>
          <w:rFonts w:ascii="Times New Roman" w:hAnsi="Times New Roman" w:cs="Times New Roman"/>
          <w:sz w:val="23"/>
          <w:szCs w:val="23"/>
        </w:rPr>
        <w:t xml:space="preserve">petróleo, </w:t>
      </w:r>
      <w:r w:rsidR="00C54217">
        <w:rPr>
          <w:rFonts w:ascii="Times New Roman" w:hAnsi="Times New Roman" w:cs="Times New Roman"/>
          <w:sz w:val="23"/>
          <w:szCs w:val="23"/>
        </w:rPr>
        <w:t>el</w:t>
      </w:r>
      <w:r w:rsidR="00615AF9">
        <w:rPr>
          <w:rFonts w:ascii="Times New Roman" w:hAnsi="Times New Roman" w:cs="Times New Roman"/>
          <w:sz w:val="23"/>
          <w:szCs w:val="23"/>
        </w:rPr>
        <w:t xml:space="preserve"> cobre y otras materias primas</w:t>
      </w:r>
      <w:r w:rsidR="00C54217">
        <w:rPr>
          <w:rFonts w:ascii="Times New Roman" w:hAnsi="Times New Roman" w:cs="Times New Roman"/>
          <w:sz w:val="23"/>
          <w:szCs w:val="23"/>
        </w:rPr>
        <w:t>,</w:t>
      </w:r>
      <w:r w:rsidR="00615AF9">
        <w:rPr>
          <w:rFonts w:ascii="Times New Roman" w:hAnsi="Times New Roman" w:cs="Times New Roman"/>
          <w:sz w:val="23"/>
          <w:szCs w:val="23"/>
        </w:rPr>
        <w:t xml:space="preserve"> parecen fluctuar en torno a tendencias estables luego de las alzas </w:t>
      </w:r>
      <w:r w:rsidR="00C06105">
        <w:rPr>
          <w:rFonts w:ascii="Times New Roman" w:hAnsi="Times New Roman" w:cs="Times New Roman"/>
          <w:sz w:val="23"/>
          <w:szCs w:val="23"/>
        </w:rPr>
        <w:t xml:space="preserve">de </w:t>
      </w:r>
      <w:r w:rsidR="00615AF9">
        <w:rPr>
          <w:rFonts w:ascii="Times New Roman" w:hAnsi="Times New Roman" w:cs="Times New Roman"/>
          <w:sz w:val="23"/>
          <w:szCs w:val="23"/>
        </w:rPr>
        <w:t xml:space="preserve">2016. </w:t>
      </w:r>
      <w:r w:rsidR="0065390F">
        <w:rPr>
          <w:rFonts w:ascii="Times New Roman" w:hAnsi="Times New Roman" w:cs="Times New Roman"/>
          <w:sz w:val="23"/>
          <w:szCs w:val="23"/>
        </w:rPr>
        <w:t xml:space="preserve"> </w:t>
      </w:r>
      <w:r w:rsidR="00615AF9">
        <w:rPr>
          <w:rFonts w:ascii="Times New Roman" w:hAnsi="Times New Roman" w:cs="Times New Roman"/>
          <w:sz w:val="23"/>
          <w:szCs w:val="23"/>
        </w:rPr>
        <w:t xml:space="preserve">Solo el oro y </w:t>
      </w:r>
      <w:r w:rsidR="00615AF9">
        <w:rPr>
          <w:rFonts w:ascii="Times New Roman" w:hAnsi="Times New Roman" w:cs="Times New Roman"/>
          <w:sz w:val="23"/>
          <w:szCs w:val="23"/>
        </w:rPr>
        <w:lastRenderedPageBreak/>
        <w:t>algun</w:t>
      </w:r>
      <w:r w:rsidR="00B23A3D">
        <w:rPr>
          <w:rFonts w:ascii="Times New Roman" w:hAnsi="Times New Roman" w:cs="Times New Roman"/>
          <w:sz w:val="23"/>
          <w:szCs w:val="23"/>
        </w:rPr>
        <w:t>os alimentos</w:t>
      </w:r>
      <w:r w:rsidR="0065390F">
        <w:rPr>
          <w:rFonts w:ascii="Times New Roman" w:hAnsi="Times New Roman" w:cs="Times New Roman"/>
          <w:sz w:val="23"/>
          <w:szCs w:val="23"/>
        </w:rPr>
        <w:t xml:space="preserve"> </w:t>
      </w:r>
      <w:r w:rsidR="00C54217">
        <w:rPr>
          <w:rFonts w:ascii="Times New Roman" w:hAnsi="Times New Roman" w:cs="Times New Roman"/>
          <w:sz w:val="23"/>
          <w:szCs w:val="23"/>
        </w:rPr>
        <w:t>elaborados h</w:t>
      </w:r>
      <w:r w:rsidR="00615AF9">
        <w:rPr>
          <w:rFonts w:ascii="Times New Roman" w:hAnsi="Times New Roman" w:cs="Times New Roman"/>
          <w:sz w:val="23"/>
          <w:szCs w:val="23"/>
        </w:rPr>
        <w:t>a</w:t>
      </w:r>
      <w:r w:rsidR="00B23A3D">
        <w:rPr>
          <w:rFonts w:ascii="Times New Roman" w:hAnsi="Times New Roman" w:cs="Times New Roman"/>
          <w:sz w:val="23"/>
          <w:szCs w:val="23"/>
        </w:rPr>
        <w:t>n</w:t>
      </w:r>
      <w:r w:rsidR="00615AF9">
        <w:rPr>
          <w:rFonts w:ascii="Times New Roman" w:hAnsi="Times New Roman" w:cs="Times New Roman"/>
          <w:sz w:val="23"/>
          <w:szCs w:val="23"/>
        </w:rPr>
        <w:t xml:space="preserve"> vuelto a </w:t>
      </w:r>
      <w:r w:rsidR="00C06105">
        <w:rPr>
          <w:rFonts w:ascii="Times New Roman" w:hAnsi="Times New Roman" w:cs="Times New Roman"/>
          <w:sz w:val="23"/>
          <w:szCs w:val="23"/>
        </w:rPr>
        <w:t xml:space="preserve">subir </w:t>
      </w:r>
      <w:r w:rsidR="00B23A3D">
        <w:rPr>
          <w:rFonts w:ascii="Times New Roman" w:hAnsi="Times New Roman" w:cs="Times New Roman"/>
          <w:sz w:val="23"/>
          <w:szCs w:val="23"/>
        </w:rPr>
        <w:t>más o menos sostenida</w:t>
      </w:r>
      <w:r w:rsidR="00C06105">
        <w:rPr>
          <w:rFonts w:ascii="Times New Roman" w:hAnsi="Times New Roman" w:cs="Times New Roman"/>
          <w:sz w:val="23"/>
          <w:szCs w:val="23"/>
        </w:rPr>
        <w:t xml:space="preserve">mente </w:t>
      </w:r>
      <w:r w:rsidR="00B23A3D">
        <w:rPr>
          <w:rFonts w:ascii="Times New Roman" w:hAnsi="Times New Roman" w:cs="Times New Roman"/>
          <w:sz w:val="23"/>
          <w:szCs w:val="23"/>
        </w:rPr>
        <w:t xml:space="preserve">en las últimas semanas. </w:t>
      </w:r>
      <w:r w:rsidR="005063F3">
        <w:rPr>
          <w:rFonts w:ascii="Times New Roman" w:hAnsi="Times New Roman" w:cs="Times New Roman"/>
          <w:sz w:val="23"/>
          <w:szCs w:val="23"/>
        </w:rPr>
        <w:t xml:space="preserve"> Por su parte, e</w:t>
      </w:r>
      <w:r w:rsidR="0021616B">
        <w:rPr>
          <w:rFonts w:ascii="Times New Roman" w:hAnsi="Times New Roman" w:cs="Times New Roman"/>
          <w:sz w:val="23"/>
          <w:szCs w:val="23"/>
        </w:rPr>
        <w:t xml:space="preserve">l índice de precios externos en dólares de </w:t>
      </w:r>
      <w:r w:rsidR="005063F3">
        <w:rPr>
          <w:rFonts w:ascii="Times New Roman" w:hAnsi="Times New Roman" w:cs="Times New Roman"/>
          <w:sz w:val="23"/>
          <w:szCs w:val="23"/>
        </w:rPr>
        <w:t xml:space="preserve">los </w:t>
      </w:r>
      <w:r w:rsidR="0021616B">
        <w:rPr>
          <w:rFonts w:ascii="Times New Roman" w:hAnsi="Times New Roman" w:cs="Times New Roman"/>
          <w:sz w:val="23"/>
          <w:szCs w:val="23"/>
        </w:rPr>
        <w:t xml:space="preserve">socios comerciales chilenos muestra una inflación en 12 meses </w:t>
      </w:r>
      <w:r w:rsidR="00C06105">
        <w:rPr>
          <w:rFonts w:ascii="Times New Roman" w:hAnsi="Times New Roman" w:cs="Times New Roman"/>
          <w:sz w:val="23"/>
          <w:szCs w:val="23"/>
        </w:rPr>
        <w:t xml:space="preserve">que </w:t>
      </w:r>
      <w:r w:rsidR="0021616B">
        <w:rPr>
          <w:rFonts w:ascii="Times New Roman" w:hAnsi="Times New Roman" w:cs="Times New Roman"/>
          <w:sz w:val="23"/>
          <w:szCs w:val="23"/>
        </w:rPr>
        <w:t>promedia 1% anual durante todo el último año.</w:t>
      </w:r>
      <w:r w:rsidR="00E11A22">
        <w:rPr>
          <w:rFonts w:ascii="Times New Roman" w:hAnsi="Times New Roman" w:cs="Times New Roman"/>
          <w:sz w:val="23"/>
          <w:szCs w:val="23"/>
        </w:rPr>
        <w:t xml:space="preserve"> </w:t>
      </w:r>
      <w:r w:rsidR="0021616B">
        <w:rPr>
          <w:rFonts w:ascii="Times New Roman" w:hAnsi="Times New Roman" w:cs="Times New Roman"/>
          <w:sz w:val="23"/>
          <w:szCs w:val="23"/>
        </w:rPr>
        <w:t xml:space="preserve">En consecuencia, la inflación en dólares </w:t>
      </w:r>
      <w:r w:rsidR="00E11A22">
        <w:rPr>
          <w:rFonts w:ascii="Times New Roman" w:hAnsi="Times New Roman" w:cs="Times New Roman"/>
          <w:sz w:val="23"/>
          <w:szCs w:val="23"/>
        </w:rPr>
        <w:t xml:space="preserve">sigue </w:t>
      </w:r>
      <w:r w:rsidR="005A73B0">
        <w:rPr>
          <w:rFonts w:ascii="Times New Roman" w:hAnsi="Times New Roman" w:cs="Times New Roman"/>
          <w:sz w:val="23"/>
          <w:szCs w:val="23"/>
        </w:rPr>
        <w:t>baja,</w:t>
      </w:r>
      <w:r w:rsidR="00E11A22">
        <w:rPr>
          <w:rFonts w:ascii="Times New Roman" w:hAnsi="Times New Roman" w:cs="Times New Roman"/>
          <w:sz w:val="23"/>
          <w:szCs w:val="23"/>
        </w:rPr>
        <w:t xml:space="preserve"> aunque existen riesgos de aceleración. </w:t>
      </w:r>
      <w:r w:rsidR="00C54217">
        <w:rPr>
          <w:rFonts w:ascii="Times New Roman" w:hAnsi="Times New Roman" w:cs="Times New Roman"/>
          <w:sz w:val="23"/>
          <w:szCs w:val="23"/>
        </w:rPr>
        <w:t xml:space="preserve"> </w:t>
      </w:r>
      <w:r w:rsidR="0021616B">
        <w:rPr>
          <w:rFonts w:ascii="Times New Roman" w:hAnsi="Times New Roman" w:cs="Times New Roman"/>
          <w:sz w:val="23"/>
          <w:szCs w:val="23"/>
        </w:rPr>
        <w:t xml:space="preserve"> </w:t>
      </w:r>
      <w:r w:rsidR="00615A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3A3D" w:rsidRDefault="00B23A3D" w:rsidP="00A77923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A3732" w:rsidRDefault="0021616B" w:rsidP="00EC5FB5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6CD7">
        <w:rPr>
          <w:rFonts w:ascii="Times New Roman" w:hAnsi="Times New Roman" w:cs="Times New Roman"/>
          <w:sz w:val="23"/>
          <w:szCs w:val="23"/>
        </w:rPr>
        <w:t xml:space="preserve">El Imacec </w:t>
      </w:r>
      <w:r>
        <w:rPr>
          <w:rFonts w:ascii="Times New Roman" w:hAnsi="Times New Roman" w:cs="Times New Roman"/>
          <w:sz w:val="23"/>
          <w:szCs w:val="23"/>
        </w:rPr>
        <w:t xml:space="preserve">de mayo </w:t>
      </w:r>
      <w:r w:rsidRPr="00DF6CD7">
        <w:rPr>
          <w:rFonts w:ascii="Times New Roman" w:hAnsi="Times New Roman" w:cs="Times New Roman"/>
          <w:sz w:val="23"/>
          <w:szCs w:val="23"/>
        </w:rPr>
        <w:t>alcanzó a</w:t>
      </w:r>
      <w:r>
        <w:rPr>
          <w:rFonts w:ascii="Times New Roman" w:hAnsi="Times New Roman" w:cs="Times New Roman"/>
          <w:sz w:val="23"/>
          <w:szCs w:val="23"/>
        </w:rPr>
        <w:t xml:space="preserve"> una expansión de 1,</w:t>
      </w:r>
      <w:r w:rsidR="00C54217">
        <w:rPr>
          <w:rFonts w:ascii="Times New Roman" w:hAnsi="Times New Roman" w:cs="Times New Roman"/>
          <w:sz w:val="23"/>
          <w:szCs w:val="23"/>
        </w:rPr>
        <w:t>3</w:t>
      </w:r>
      <w:r w:rsidRPr="00DF6CD7">
        <w:rPr>
          <w:rFonts w:ascii="Times New Roman" w:hAnsi="Times New Roman" w:cs="Times New Roman"/>
          <w:sz w:val="23"/>
          <w:szCs w:val="23"/>
        </w:rPr>
        <w:t>%</w:t>
      </w:r>
      <w:r w:rsidR="00EC5FB5">
        <w:rPr>
          <w:rFonts w:ascii="Times New Roman" w:hAnsi="Times New Roman" w:cs="Times New Roman"/>
          <w:sz w:val="23"/>
          <w:szCs w:val="23"/>
        </w:rPr>
        <w:t xml:space="preserve"> que marca una recuperación después de 4 meses de virtual estancamiento</w:t>
      </w:r>
      <w:r w:rsidR="005063F3">
        <w:rPr>
          <w:rFonts w:ascii="Times New Roman" w:hAnsi="Times New Roman" w:cs="Times New Roman"/>
          <w:sz w:val="23"/>
          <w:szCs w:val="23"/>
        </w:rPr>
        <w:t xml:space="preserve">, la que responde a sectores distintos del minero. </w:t>
      </w:r>
      <w:r w:rsidR="00AE60E0">
        <w:rPr>
          <w:rFonts w:ascii="Times New Roman" w:hAnsi="Times New Roman" w:cs="Times New Roman"/>
          <w:sz w:val="23"/>
          <w:szCs w:val="23"/>
        </w:rPr>
        <w:t>En el segundo trimestre el PIB crecería a una tasa cercana al 1% anual y la inversión podría dejar de caer gracias al incremento de las importaciones de bienes de capital</w:t>
      </w:r>
      <w:r w:rsidR="008A3FEE">
        <w:rPr>
          <w:rFonts w:ascii="Times New Roman" w:hAnsi="Times New Roman" w:cs="Times New Roman"/>
          <w:sz w:val="23"/>
          <w:szCs w:val="23"/>
        </w:rPr>
        <w:t xml:space="preserve">, </w:t>
      </w:r>
      <w:r w:rsidR="00AE60E0">
        <w:rPr>
          <w:rFonts w:ascii="Times New Roman" w:hAnsi="Times New Roman" w:cs="Times New Roman"/>
          <w:sz w:val="23"/>
          <w:szCs w:val="23"/>
        </w:rPr>
        <w:t>y</w:t>
      </w:r>
      <w:r w:rsidR="008A3FEE">
        <w:rPr>
          <w:rFonts w:ascii="Times New Roman" w:hAnsi="Times New Roman" w:cs="Times New Roman"/>
          <w:sz w:val="23"/>
          <w:szCs w:val="23"/>
        </w:rPr>
        <w:t xml:space="preserve"> pese a </w:t>
      </w:r>
      <w:r w:rsidR="00AE60E0">
        <w:rPr>
          <w:rFonts w:ascii="Times New Roman" w:hAnsi="Times New Roman" w:cs="Times New Roman"/>
          <w:sz w:val="23"/>
          <w:szCs w:val="23"/>
        </w:rPr>
        <w:t xml:space="preserve">que </w:t>
      </w:r>
      <w:r w:rsidR="005063F3">
        <w:rPr>
          <w:rFonts w:ascii="Times New Roman" w:hAnsi="Times New Roman" w:cs="Times New Roman"/>
          <w:sz w:val="23"/>
          <w:szCs w:val="23"/>
        </w:rPr>
        <w:t xml:space="preserve">el sector </w:t>
      </w:r>
      <w:r w:rsidR="00AE60E0">
        <w:rPr>
          <w:rFonts w:ascii="Times New Roman" w:hAnsi="Times New Roman" w:cs="Times New Roman"/>
          <w:sz w:val="23"/>
          <w:szCs w:val="23"/>
        </w:rPr>
        <w:t xml:space="preserve">construcción continúa contrayéndose. </w:t>
      </w:r>
      <w:r w:rsidR="00C54217">
        <w:rPr>
          <w:rFonts w:ascii="Times New Roman" w:hAnsi="Times New Roman" w:cs="Times New Roman"/>
          <w:sz w:val="23"/>
          <w:szCs w:val="23"/>
        </w:rPr>
        <w:t xml:space="preserve">Como el </w:t>
      </w:r>
      <w:r w:rsidR="00EC5FB5">
        <w:rPr>
          <w:rFonts w:ascii="Times New Roman" w:hAnsi="Times New Roman" w:cs="Times New Roman"/>
          <w:sz w:val="23"/>
          <w:szCs w:val="23"/>
        </w:rPr>
        <w:t xml:space="preserve">primer semestre </w:t>
      </w:r>
      <w:r w:rsidR="00C54217">
        <w:rPr>
          <w:rFonts w:ascii="Times New Roman" w:hAnsi="Times New Roman" w:cs="Times New Roman"/>
          <w:sz w:val="23"/>
          <w:szCs w:val="23"/>
        </w:rPr>
        <w:t xml:space="preserve">está cerrando </w:t>
      </w:r>
      <w:r w:rsidR="00EC5FB5">
        <w:rPr>
          <w:rFonts w:ascii="Times New Roman" w:hAnsi="Times New Roman" w:cs="Times New Roman"/>
          <w:sz w:val="23"/>
          <w:szCs w:val="23"/>
        </w:rPr>
        <w:t xml:space="preserve">con un crecimiento </w:t>
      </w:r>
      <w:r w:rsidR="00C54217">
        <w:rPr>
          <w:rFonts w:ascii="Times New Roman" w:hAnsi="Times New Roman" w:cs="Times New Roman"/>
          <w:sz w:val="23"/>
          <w:szCs w:val="23"/>
        </w:rPr>
        <w:t>del orden de 0,5</w:t>
      </w:r>
      <w:r w:rsidR="00AE60E0">
        <w:rPr>
          <w:rFonts w:ascii="Times New Roman" w:hAnsi="Times New Roman" w:cs="Times New Roman"/>
          <w:sz w:val="23"/>
          <w:szCs w:val="23"/>
        </w:rPr>
        <w:t xml:space="preserve">% </w:t>
      </w:r>
      <w:r w:rsidR="00EC5FB5">
        <w:rPr>
          <w:rFonts w:ascii="Times New Roman" w:hAnsi="Times New Roman" w:cs="Times New Roman"/>
          <w:sz w:val="23"/>
          <w:szCs w:val="23"/>
        </w:rPr>
        <w:t xml:space="preserve">anual, </w:t>
      </w:r>
      <w:r w:rsidRPr="00DF6CD7">
        <w:rPr>
          <w:rFonts w:ascii="Times New Roman" w:hAnsi="Times New Roman" w:cs="Times New Roman"/>
          <w:sz w:val="23"/>
          <w:szCs w:val="23"/>
        </w:rPr>
        <w:t xml:space="preserve">se requiere de una fuerte recuperación </w:t>
      </w:r>
      <w:r w:rsidR="00EC5FB5">
        <w:rPr>
          <w:rFonts w:ascii="Times New Roman" w:hAnsi="Times New Roman" w:cs="Times New Roman"/>
          <w:sz w:val="23"/>
          <w:szCs w:val="23"/>
        </w:rPr>
        <w:t>en el segundo semestre</w:t>
      </w:r>
      <w:r w:rsidR="00AE60E0">
        <w:rPr>
          <w:rFonts w:ascii="Times New Roman" w:hAnsi="Times New Roman" w:cs="Times New Roman"/>
          <w:sz w:val="23"/>
          <w:szCs w:val="23"/>
        </w:rPr>
        <w:t xml:space="preserve"> </w:t>
      </w:r>
      <w:r w:rsidR="00AE60E0" w:rsidRPr="00DF6CD7">
        <w:rPr>
          <w:rFonts w:ascii="Times New Roman" w:hAnsi="Times New Roman" w:cs="Times New Roman"/>
          <w:sz w:val="23"/>
          <w:szCs w:val="23"/>
        </w:rPr>
        <w:t xml:space="preserve">para alcanzar </w:t>
      </w:r>
      <w:r w:rsidR="00DA3732">
        <w:rPr>
          <w:rFonts w:ascii="Times New Roman" w:hAnsi="Times New Roman" w:cs="Times New Roman"/>
          <w:sz w:val="23"/>
          <w:szCs w:val="23"/>
        </w:rPr>
        <w:t xml:space="preserve">un </w:t>
      </w:r>
      <w:r w:rsidR="00AE60E0" w:rsidRPr="00DF6CD7">
        <w:rPr>
          <w:rFonts w:ascii="Times New Roman" w:hAnsi="Times New Roman" w:cs="Times New Roman"/>
          <w:sz w:val="23"/>
          <w:szCs w:val="23"/>
        </w:rPr>
        <w:t>crecimiento a</w:t>
      </w:r>
      <w:r w:rsidR="00AE60E0">
        <w:rPr>
          <w:rFonts w:ascii="Times New Roman" w:hAnsi="Times New Roman" w:cs="Times New Roman"/>
          <w:sz w:val="23"/>
          <w:szCs w:val="23"/>
        </w:rPr>
        <w:t xml:space="preserve">nual </w:t>
      </w:r>
      <w:r w:rsidR="00DA3732">
        <w:rPr>
          <w:rFonts w:ascii="Times New Roman" w:hAnsi="Times New Roman" w:cs="Times New Roman"/>
          <w:sz w:val="23"/>
          <w:szCs w:val="23"/>
        </w:rPr>
        <w:t xml:space="preserve">entre 1.0% y </w:t>
      </w:r>
      <w:r w:rsidR="00AE60E0" w:rsidRPr="00DF6CD7">
        <w:rPr>
          <w:rFonts w:ascii="Times New Roman" w:hAnsi="Times New Roman" w:cs="Times New Roman"/>
          <w:sz w:val="23"/>
          <w:szCs w:val="23"/>
        </w:rPr>
        <w:t>1,5%</w:t>
      </w:r>
      <w:r w:rsidR="00AE60E0">
        <w:rPr>
          <w:rFonts w:ascii="Times New Roman" w:hAnsi="Times New Roman" w:cs="Times New Roman"/>
          <w:sz w:val="23"/>
          <w:szCs w:val="23"/>
        </w:rPr>
        <w:t xml:space="preserve"> para todo </w:t>
      </w:r>
      <w:r w:rsidR="00AE60E0" w:rsidRPr="00DF6CD7">
        <w:rPr>
          <w:rFonts w:ascii="Times New Roman" w:hAnsi="Times New Roman" w:cs="Times New Roman"/>
          <w:sz w:val="23"/>
          <w:szCs w:val="23"/>
        </w:rPr>
        <w:t>2017</w:t>
      </w:r>
      <w:r w:rsidR="00EC5FB5">
        <w:rPr>
          <w:rFonts w:ascii="Times New Roman" w:hAnsi="Times New Roman" w:cs="Times New Roman"/>
          <w:sz w:val="23"/>
          <w:szCs w:val="23"/>
        </w:rPr>
        <w:t>.</w:t>
      </w:r>
      <w:r w:rsidR="00EA55A3">
        <w:rPr>
          <w:rFonts w:ascii="Times New Roman" w:hAnsi="Times New Roman" w:cs="Times New Roman"/>
          <w:sz w:val="23"/>
          <w:szCs w:val="23"/>
        </w:rPr>
        <w:t xml:space="preserve"> </w:t>
      </w:r>
      <w:r w:rsidR="00DA3732">
        <w:rPr>
          <w:rFonts w:ascii="Times New Roman" w:hAnsi="Times New Roman" w:cs="Times New Roman"/>
          <w:sz w:val="23"/>
          <w:szCs w:val="23"/>
        </w:rPr>
        <w:t xml:space="preserve"> </w:t>
      </w:r>
      <w:r w:rsidR="005063F3">
        <w:rPr>
          <w:rFonts w:ascii="Times New Roman" w:hAnsi="Times New Roman" w:cs="Times New Roman"/>
          <w:sz w:val="23"/>
          <w:szCs w:val="23"/>
        </w:rPr>
        <w:t xml:space="preserve">Aunque así fuera </w:t>
      </w:r>
      <w:r w:rsidR="00EA55A3">
        <w:rPr>
          <w:rFonts w:ascii="Times New Roman" w:hAnsi="Times New Roman" w:cs="Times New Roman"/>
          <w:sz w:val="23"/>
          <w:szCs w:val="23"/>
        </w:rPr>
        <w:t>la brecha de capacidad continuará ampliándose entre 1,5 y 2 puntos del PIB durante 2017.</w:t>
      </w:r>
      <w:r w:rsidR="00C0610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3732" w:rsidRDefault="00DA3732" w:rsidP="00EC5FB5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C5FB5" w:rsidRPr="00DF6CD7" w:rsidRDefault="00EC5FB5" w:rsidP="00EC5FB5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 mercado laboral sigue dando señales de debilidad</w:t>
      </w:r>
      <w:r w:rsidR="00EA55A3">
        <w:rPr>
          <w:rFonts w:ascii="Times New Roman" w:hAnsi="Times New Roman" w:cs="Times New Roman"/>
          <w:sz w:val="23"/>
          <w:szCs w:val="23"/>
        </w:rPr>
        <w:t>, primero porque</w:t>
      </w:r>
      <w:r>
        <w:rPr>
          <w:rFonts w:ascii="Times New Roman" w:hAnsi="Times New Roman" w:cs="Times New Roman"/>
          <w:sz w:val="23"/>
          <w:szCs w:val="23"/>
        </w:rPr>
        <w:t xml:space="preserve"> el empleo por cuenta propia representa el grueso del incremento en la utilización de mano de obra y </w:t>
      </w:r>
      <w:r w:rsidR="00EA55A3">
        <w:rPr>
          <w:rFonts w:ascii="Times New Roman" w:hAnsi="Times New Roman" w:cs="Times New Roman"/>
          <w:sz w:val="23"/>
          <w:szCs w:val="23"/>
        </w:rPr>
        <w:t xml:space="preserve">segundo porque </w:t>
      </w:r>
      <w:r>
        <w:rPr>
          <w:rFonts w:ascii="Times New Roman" w:hAnsi="Times New Roman" w:cs="Times New Roman"/>
          <w:sz w:val="23"/>
          <w:szCs w:val="23"/>
        </w:rPr>
        <w:t>este ya no es suficiente para evitar alzas en la tasa de desempleo</w:t>
      </w:r>
      <w:r w:rsidR="007C0D4E">
        <w:rPr>
          <w:rFonts w:ascii="Times New Roman" w:hAnsi="Times New Roman" w:cs="Times New Roman"/>
          <w:sz w:val="23"/>
          <w:szCs w:val="23"/>
        </w:rPr>
        <w:t xml:space="preserve"> que ya llega a </w:t>
      </w:r>
      <w:r>
        <w:rPr>
          <w:rFonts w:ascii="Times New Roman" w:hAnsi="Times New Roman" w:cs="Times New Roman"/>
          <w:sz w:val="23"/>
          <w:szCs w:val="23"/>
        </w:rPr>
        <w:t xml:space="preserve">7% a nivel nacional. </w:t>
      </w:r>
      <w:r w:rsidR="00EA55A3">
        <w:rPr>
          <w:rFonts w:ascii="Times New Roman" w:hAnsi="Times New Roman" w:cs="Times New Roman"/>
          <w:sz w:val="23"/>
          <w:szCs w:val="23"/>
        </w:rPr>
        <w:t xml:space="preserve"> Por otra parte, </w:t>
      </w:r>
      <w:r w:rsidR="00DA3732">
        <w:rPr>
          <w:rFonts w:ascii="Times New Roman" w:hAnsi="Times New Roman" w:cs="Times New Roman"/>
          <w:sz w:val="23"/>
          <w:szCs w:val="23"/>
        </w:rPr>
        <w:t xml:space="preserve">la variación en </w:t>
      </w:r>
      <w:r w:rsidR="00EA55A3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 w:rsidRPr="00DF6CD7">
        <w:rPr>
          <w:rFonts w:ascii="Times New Roman" w:hAnsi="Times New Roman" w:cs="Times New Roman"/>
          <w:sz w:val="23"/>
          <w:szCs w:val="23"/>
        </w:rPr>
        <w:t xml:space="preserve">índice de remuneraciones </w:t>
      </w:r>
      <w:r w:rsidR="00DA3732">
        <w:rPr>
          <w:rFonts w:ascii="Times New Roman" w:hAnsi="Times New Roman" w:cs="Times New Roman"/>
          <w:sz w:val="23"/>
          <w:szCs w:val="23"/>
        </w:rPr>
        <w:t xml:space="preserve">se ha reducido de 5.5% en junio de 2016 a poco más de </w:t>
      </w:r>
      <w:r w:rsidR="00DA3732" w:rsidRPr="00DF6CD7">
        <w:rPr>
          <w:rFonts w:ascii="Times New Roman" w:hAnsi="Times New Roman" w:cs="Times New Roman"/>
          <w:sz w:val="23"/>
          <w:szCs w:val="23"/>
        </w:rPr>
        <w:t xml:space="preserve">4% </w:t>
      </w:r>
      <w:r w:rsidR="00DA3732">
        <w:rPr>
          <w:rFonts w:ascii="Times New Roman" w:hAnsi="Times New Roman" w:cs="Times New Roman"/>
          <w:sz w:val="23"/>
          <w:szCs w:val="23"/>
        </w:rPr>
        <w:t xml:space="preserve">en mayo recién pasado en respuesta al deterioro </w:t>
      </w:r>
      <w:r>
        <w:rPr>
          <w:rFonts w:ascii="Times New Roman" w:hAnsi="Times New Roman" w:cs="Times New Roman"/>
          <w:sz w:val="23"/>
          <w:szCs w:val="23"/>
        </w:rPr>
        <w:t xml:space="preserve">del </w:t>
      </w:r>
      <w:r w:rsidR="007C0D4E">
        <w:rPr>
          <w:rFonts w:ascii="Times New Roman" w:hAnsi="Times New Roman" w:cs="Times New Roman"/>
          <w:sz w:val="23"/>
          <w:szCs w:val="23"/>
        </w:rPr>
        <w:t>mercado laboral</w:t>
      </w:r>
      <w:r w:rsidR="00DA3732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E60E0" w:rsidRDefault="00AE60E0" w:rsidP="00211CBD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E60E0" w:rsidRDefault="00AE60E0" w:rsidP="00AE60E0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 </w:t>
      </w:r>
      <w:r w:rsidR="00211CBD" w:rsidRPr="00DF6CD7">
        <w:rPr>
          <w:rFonts w:ascii="Times New Roman" w:hAnsi="Times New Roman" w:cs="Times New Roman"/>
          <w:sz w:val="23"/>
          <w:szCs w:val="23"/>
        </w:rPr>
        <w:t xml:space="preserve">Índice de Precios al Consumidor registró una variación mensual </w:t>
      </w:r>
      <w:r w:rsidR="00377F4F">
        <w:rPr>
          <w:rFonts w:ascii="Times New Roman" w:hAnsi="Times New Roman" w:cs="Times New Roman"/>
          <w:sz w:val="23"/>
          <w:szCs w:val="23"/>
        </w:rPr>
        <w:t xml:space="preserve">negativa de -0.4% </w:t>
      </w:r>
      <w:r>
        <w:rPr>
          <w:rFonts w:ascii="Times New Roman" w:hAnsi="Times New Roman" w:cs="Times New Roman"/>
          <w:sz w:val="23"/>
          <w:szCs w:val="23"/>
        </w:rPr>
        <w:t xml:space="preserve">en junio con lo que la </w:t>
      </w:r>
      <w:r w:rsidR="00E23AB8">
        <w:rPr>
          <w:rFonts w:ascii="Times New Roman" w:hAnsi="Times New Roman" w:cs="Times New Roman"/>
          <w:sz w:val="23"/>
          <w:szCs w:val="23"/>
        </w:rPr>
        <w:t xml:space="preserve">tasa de inflación </w:t>
      </w:r>
      <w:r>
        <w:rPr>
          <w:rFonts w:ascii="Times New Roman" w:hAnsi="Times New Roman" w:cs="Times New Roman"/>
          <w:sz w:val="23"/>
          <w:szCs w:val="23"/>
        </w:rPr>
        <w:t xml:space="preserve">anual </w:t>
      </w:r>
      <w:r w:rsidR="005063F3">
        <w:rPr>
          <w:rFonts w:ascii="Times New Roman" w:hAnsi="Times New Roman" w:cs="Times New Roman"/>
          <w:sz w:val="23"/>
          <w:szCs w:val="23"/>
        </w:rPr>
        <w:t xml:space="preserve">del IPC </w:t>
      </w:r>
      <w:r>
        <w:rPr>
          <w:rFonts w:ascii="Times New Roman" w:hAnsi="Times New Roman" w:cs="Times New Roman"/>
          <w:sz w:val="23"/>
          <w:szCs w:val="23"/>
        </w:rPr>
        <w:t xml:space="preserve">bajó a </w:t>
      </w:r>
      <w:r w:rsidR="00377F4F">
        <w:rPr>
          <w:rFonts w:ascii="Times New Roman" w:hAnsi="Times New Roman" w:cs="Times New Roman"/>
          <w:sz w:val="23"/>
          <w:szCs w:val="23"/>
        </w:rPr>
        <w:t>1</w:t>
      </w:r>
      <w:r w:rsidR="00211CBD" w:rsidRPr="00DF6CD7">
        <w:rPr>
          <w:rFonts w:ascii="Times New Roman" w:hAnsi="Times New Roman" w:cs="Times New Roman"/>
          <w:sz w:val="23"/>
          <w:szCs w:val="23"/>
        </w:rPr>
        <w:t>,</w:t>
      </w:r>
      <w:r w:rsidR="00377F4F">
        <w:rPr>
          <w:rFonts w:ascii="Times New Roman" w:hAnsi="Times New Roman" w:cs="Times New Roman"/>
          <w:sz w:val="23"/>
          <w:szCs w:val="23"/>
        </w:rPr>
        <w:t>7</w:t>
      </w:r>
      <w:r w:rsidR="00211CBD" w:rsidRPr="00DF6CD7">
        <w:rPr>
          <w:rFonts w:ascii="Times New Roman" w:hAnsi="Times New Roman" w:cs="Times New Roman"/>
          <w:sz w:val="23"/>
          <w:szCs w:val="23"/>
        </w:rPr>
        <w:t>%</w:t>
      </w:r>
      <w:r w:rsidR="00C52FE6">
        <w:rPr>
          <w:rFonts w:ascii="Times New Roman" w:hAnsi="Times New Roman" w:cs="Times New Roman"/>
          <w:sz w:val="23"/>
          <w:szCs w:val="23"/>
        </w:rPr>
        <w:t xml:space="preserve">, </w:t>
      </w:r>
      <w:r w:rsidR="00377F4F">
        <w:rPr>
          <w:rFonts w:ascii="Times New Roman" w:hAnsi="Times New Roman" w:cs="Times New Roman"/>
          <w:sz w:val="23"/>
          <w:szCs w:val="23"/>
        </w:rPr>
        <w:t xml:space="preserve">con </w:t>
      </w:r>
      <w:r w:rsidR="00C52FE6">
        <w:rPr>
          <w:rFonts w:ascii="Times New Roman" w:hAnsi="Times New Roman" w:cs="Times New Roman"/>
          <w:sz w:val="23"/>
          <w:szCs w:val="23"/>
        </w:rPr>
        <w:t xml:space="preserve">las </w:t>
      </w:r>
      <w:r w:rsidRPr="00DF6CD7">
        <w:rPr>
          <w:rFonts w:ascii="Times New Roman" w:hAnsi="Times New Roman" w:cs="Times New Roman"/>
          <w:sz w:val="23"/>
          <w:szCs w:val="23"/>
        </w:rPr>
        <w:t xml:space="preserve">medidas subyacentes, IPCX1 e IPCSAE, </w:t>
      </w:r>
      <w:r w:rsidR="00EA55A3">
        <w:rPr>
          <w:rFonts w:ascii="Times New Roman" w:hAnsi="Times New Roman" w:cs="Times New Roman"/>
          <w:sz w:val="23"/>
          <w:szCs w:val="23"/>
        </w:rPr>
        <w:t>m</w:t>
      </w:r>
      <w:r w:rsidR="00377F4F">
        <w:rPr>
          <w:rFonts w:ascii="Times New Roman" w:hAnsi="Times New Roman" w:cs="Times New Roman"/>
          <w:sz w:val="23"/>
          <w:szCs w:val="23"/>
        </w:rPr>
        <w:t xml:space="preserve">ostrando </w:t>
      </w:r>
      <w:r>
        <w:rPr>
          <w:rFonts w:ascii="Times New Roman" w:hAnsi="Times New Roman" w:cs="Times New Roman"/>
          <w:sz w:val="23"/>
          <w:szCs w:val="23"/>
        </w:rPr>
        <w:t>tasa</w:t>
      </w:r>
      <w:r w:rsidR="00C52FE6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06105">
        <w:rPr>
          <w:rFonts w:ascii="Times New Roman" w:hAnsi="Times New Roman" w:cs="Times New Roman"/>
          <w:sz w:val="23"/>
          <w:szCs w:val="23"/>
        </w:rPr>
        <w:t xml:space="preserve">similares. </w:t>
      </w:r>
      <w:r>
        <w:rPr>
          <w:rFonts w:ascii="Times New Roman" w:hAnsi="Times New Roman" w:cs="Times New Roman"/>
          <w:sz w:val="23"/>
          <w:szCs w:val="23"/>
        </w:rPr>
        <w:t xml:space="preserve">La inflación en 12 meses </w:t>
      </w:r>
      <w:r w:rsidRPr="00DF6CD7">
        <w:rPr>
          <w:rFonts w:ascii="Times New Roman" w:hAnsi="Times New Roman" w:cs="Times New Roman"/>
          <w:sz w:val="23"/>
          <w:szCs w:val="23"/>
        </w:rPr>
        <w:t xml:space="preserve">para </w:t>
      </w:r>
      <w:r w:rsidR="00790B41">
        <w:rPr>
          <w:rFonts w:ascii="Times New Roman" w:hAnsi="Times New Roman" w:cs="Times New Roman"/>
          <w:sz w:val="23"/>
          <w:szCs w:val="23"/>
        </w:rPr>
        <w:t xml:space="preserve">los </w:t>
      </w:r>
      <w:r w:rsidRPr="00DF6CD7">
        <w:rPr>
          <w:rFonts w:ascii="Times New Roman" w:hAnsi="Times New Roman" w:cs="Times New Roman"/>
          <w:sz w:val="23"/>
          <w:szCs w:val="23"/>
        </w:rPr>
        <w:t xml:space="preserve">servicios </w:t>
      </w:r>
      <w:r>
        <w:rPr>
          <w:rFonts w:ascii="Times New Roman" w:hAnsi="Times New Roman" w:cs="Times New Roman"/>
          <w:sz w:val="23"/>
          <w:szCs w:val="23"/>
        </w:rPr>
        <w:t>se sigue reduciendo y llega a 3,</w:t>
      </w:r>
      <w:r w:rsidR="00377F4F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% an</w:t>
      </w:r>
      <w:r w:rsidR="00C52FE6">
        <w:rPr>
          <w:rFonts w:ascii="Times New Roman" w:hAnsi="Times New Roman" w:cs="Times New Roman"/>
          <w:sz w:val="23"/>
          <w:szCs w:val="23"/>
        </w:rPr>
        <w:t>ual en junio, comparado con el 4.7</w:t>
      </w:r>
      <w:r>
        <w:rPr>
          <w:rFonts w:ascii="Times New Roman" w:hAnsi="Times New Roman" w:cs="Times New Roman"/>
          <w:sz w:val="23"/>
          <w:szCs w:val="23"/>
        </w:rPr>
        <w:t xml:space="preserve">% registrado </w:t>
      </w:r>
      <w:r w:rsidR="00C52FE6">
        <w:rPr>
          <w:rFonts w:ascii="Times New Roman" w:hAnsi="Times New Roman" w:cs="Times New Roman"/>
          <w:sz w:val="23"/>
          <w:szCs w:val="23"/>
        </w:rPr>
        <w:t xml:space="preserve">en junio </w:t>
      </w:r>
      <w:r>
        <w:rPr>
          <w:rFonts w:ascii="Times New Roman" w:hAnsi="Times New Roman" w:cs="Times New Roman"/>
          <w:sz w:val="23"/>
          <w:szCs w:val="23"/>
        </w:rPr>
        <w:t xml:space="preserve">de 2016. </w:t>
      </w:r>
      <w:r w:rsidR="00EA55A3">
        <w:rPr>
          <w:rFonts w:ascii="Times New Roman" w:hAnsi="Times New Roman" w:cs="Times New Roman"/>
          <w:sz w:val="23"/>
          <w:szCs w:val="23"/>
        </w:rPr>
        <w:t xml:space="preserve"> Esta caída refleja el menor ritmo de incremento de costos laborales y </w:t>
      </w:r>
      <w:r w:rsidR="00790B41">
        <w:rPr>
          <w:rFonts w:ascii="Times New Roman" w:hAnsi="Times New Roman" w:cs="Times New Roman"/>
          <w:sz w:val="23"/>
          <w:szCs w:val="23"/>
        </w:rPr>
        <w:t xml:space="preserve">la </w:t>
      </w:r>
      <w:r w:rsidR="00EA55A3">
        <w:rPr>
          <w:rFonts w:ascii="Times New Roman" w:hAnsi="Times New Roman" w:cs="Times New Roman"/>
          <w:sz w:val="23"/>
          <w:szCs w:val="23"/>
        </w:rPr>
        <w:t xml:space="preserve">compresión de márgenes asociados a la brecha de capacidad. La inflación anual de bienes transables consistente con este cuadro no solo es baja, sino que es negativa.  </w:t>
      </w:r>
    </w:p>
    <w:p w:rsidR="00211CBD" w:rsidRDefault="00211CBD" w:rsidP="00102988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E5F50" w:rsidRDefault="00C4136D" w:rsidP="00102988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Los </w:t>
      </w:r>
      <w:r w:rsidR="00211CBD" w:rsidRPr="00DF6CD7">
        <w:rPr>
          <w:rFonts w:ascii="Times New Roman" w:hAnsi="Times New Roman" w:cs="Times New Roman"/>
          <w:sz w:val="23"/>
          <w:szCs w:val="23"/>
        </w:rPr>
        <w:t xml:space="preserve">riesgos principales </w:t>
      </w:r>
      <w:r>
        <w:rPr>
          <w:rFonts w:ascii="Times New Roman" w:hAnsi="Times New Roman" w:cs="Times New Roman"/>
          <w:sz w:val="23"/>
          <w:szCs w:val="23"/>
        </w:rPr>
        <w:t xml:space="preserve">de origen doméstico </w:t>
      </w:r>
      <w:r w:rsidR="0065390F">
        <w:rPr>
          <w:rFonts w:ascii="Times New Roman" w:hAnsi="Times New Roman" w:cs="Times New Roman"/>
          <w:sz w:val="23"/>
          <w:szCs w:val="23"/>
        </w:rPr>
        <w:t xml:space="preserve">son deflacionarios y </w:t>
      </w:r>
      <w:r w:rsidR="00211CBD" w:rsidRPr="00DF6CD7">
        <w:rPr>
          <w:rFonts w:ascii="Times New Roman" w:hAnsi="Times New Roman" w:cs="Times New Roman"/>
          <w:sz w:val="23"/>
          <w:szCs w:val="23"/>
        </w:rPr>
        <w:t xml:space="preserve">se relacionan con un mercado </w:t>
      </w:r>
      <w:r>
        <w:rPr>
          <w:rFonts w:ascii="Times New Roman" w:hAnsi="Times New Roman" w:cs="Times New Roman"/>
          <w:sz w:val="23"/>
          <w:szCs w:val="23"/>
        </w:rPr>
        <w:t xml:space="preserve">laboral </w:t>
      </w:r>
      <w:r w:rsidR="00211CBD" w:rsidRPr="00DF6CD7">
        <w:rPr>
          <w:rFonts w:ascii="Times New Roman" w:hAnsi="Times New Roman" w:cs="Times New Roman"/>
          <w:sz w:val="23"/>
          <w:szCs w:val="23"/>
        </w:rPr>
        <w:t xml:space="preserve">que </w:t>
      </w:r>
      <w:r>
        <w:rPr>
          <w:rFonts w:ascii="Times New Roman" w:hAnsi="Times New Roman" w:cs="Times New Roman"/>
          <w:sz w:val="23"/>
          <w:szCs w:val="23"/>
        </w:rPr>
        <w:t>s</w:t>
      </w:r>
      <w:r w:rsidR="005C3718">
        <w:rPr>
          <w:rFonts w:ascii="Times New Roman" w:hAnsi="Times New Roman" w:cs="Times New Roman"/>
          <w:sz w:val="23"/>
          <w:szCs w:val="23"/>
        </w:rPr>
        <w:t xml:space="preserve">e deteriora </w:t>
      </w:r>
      <w:r w:rsidR="0065390F">
        <w:rPr>
          <w:rFonts w:ascii="Times New Roman" w:hAnsi="Times New Roman" w:cs="Times New Roman"/>
          <w:sz w:val="23"/>
          <w:szCs w:val="23"/>
        </w:rPr>
        <w:t>lo que puede intensificar la caída de la inflación de servicios</w:t>
      </w:r>
      <w:r>
        <w:rPr>
          <w:rFonts w:ascii="Times New Roman" w:hAnsi="Times New Roman" w:cs="Times New Roman"/>
          <w:sz w:val="23"/>
          <w:szCs w:val="23"/>
        </w:rPr>
        <w:t>,</w:t>
      </w:r>
      <w:r w:rsidR="0065390F">
        <w:rPr>
          <w:rFonts w:ascii="Times New Roman" w:hAnsi="Times New Roman" w:cs="Times New Roman"/>
          <w:sz w:val="23"/>
          <w:szCs w:val="23"/>
        </w:rPr>
        <w:t xml:space="preserve"> </w:t>
      </w:r>
      <w:r w:rsidR="00377F4F">
        <w:rPr>
          <w:rFonts w:ascii="Times New Roman" w:hAnsi="Times New Roman" w:cs="Times New Roman"/>
          <w:sz w:val="23"/>
          <w:szCs w:val="23"/>
        </w:rPr>
        <w:t xml:space="preserve">alejando </w:t>
      </w:r>
      <w:r w:rsidR="0065390F">
        <w:rPr>
          <w:rFonts w:ascii="Times New Roman" w:hAnsi="Times New Roman" w:cs="Times New Roman"/>
          <w:sz w:val="23"/>
          <w:szCs w:val="23"/>
        </w:rPr>
        <w:t>a la inflación</w:t>
      </w:r>
      <w:r w:rsidR="00377F4F">
        <w:rPr>
          <w:rFonts w:ascii="Times New Roman" w:hAnsi="Times New Roman" w:cs="Times New Roman"/>
          <w:sz w:val="23"/>
          <w:szCs w:val="23"/>
        </w:rPr>
        <w:t xml:space="preserve"> IPC </w:t>
      </w:r>
      <w:r w:rsidR="0065390F">
        <w:rPr>
          <w:rFonts w:ascii="Times New Roman" w:hAnsi="Times New Roman" w:cs="Times New Roman"/>
          <w:sz w:val="23"/>
          <w:szCs w:val="23"/>
        </w:rPr>
        <w:t>del límite inferior del rango meta</w:t>
      </w:r>
      <w:r w:rsidR="003344E7">
        <w:rPr>
          <w:rFonts w:ascii="Times New Roman" w:hAnsi="Times New Roman" w:cs="Times New Roman"/>
          <w:sz w:val="23"/>
          <w:szCs w:val="23"/>
        </w:rPr>
        <w:t xml:space="preserve"> y eventualmente desanclando las expectativas</w:t>
      </w:r>
      <w:r w:rsidR="0065390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Los </w:t>
      </w:r>
      <w:r w:rsidR="00A73C82">
        <w:rPr>
          <w:rFonts w:ascii="Times New Roman" w:hAnsi="Times New Roman" w:cs="Times New Roman"/>
          <w:sz w:val="23"/>
          <w:szCs w:val="23"/>
        </w:rPr>
        <w:t>riesgo</w:t>
      </w:r>
      <w:r>
        <w:rPr>
          <w:rFonts w:ascii="Times New Roman" w:hAnsi="Times New Roman" w:cs="Times New Roman"/>
          <w:sz w:val="23"/>
          <w:szCs w:val="23"/>
        </w:rPr>
        <w:t xml:space="preserve">s de origen externo </w:t>
      </w:r>
      <w:r w:rsidR="00A73C82">
        <w:rPr>
          <w:rFonts w:ascii="Times New Roman" w:hAnsi="Times New Roman" w:cs="Times New Roman"/>
          <w:sz w:val="23"/>
          <w:szCs w:val="23"/>
        </w:rPr>
        <w:t xml:space="preserve">son inflacionarios y se asocian a la </w:t>
      </w:r>
      <w:r w:rsidR="0078084B" w:rsidRPr="00DF6CD7">
        <w:rPr>
          <w:rFonts w:ascii="Times New Roman" w:hAnsi="Times New Roman" w:cs="Times New Roman"/>
          <w:sz w:val="23"/>
          <w:szCs w:val="23"/>
        </w:rPr>
        <w:t>evolución de la</w:t>
      </w:r>
      <w:r w:rsidR="0065390F">
        <w:rPr>
          <w:rFonts w:ascii="Times New Roman" w:hAnsi="Times New Roman" w:cs="Times New Roman"/>
          <w:sz w:val="23"/>
          <w:szCs w:val="23"/>
        </w:rPr>
        <w:t xml:space="preserve">s </w:t>
      </w:r>
      <w:r w:rsidR="0078084B" w:rsidRPr="00DF6CD7">
        <w:rPr>
          <w:rFonts w:ascii="Times New Roman" w:hAnsi="Times New Roman" w:cs="Times New Roman"/>
          <w:sz w:val="23"/>
          <w:szCs w:val="23"/>
        </w:rPr>
        <w:t>tasas de interés de largo plazo</w:t>
      </w:r>
      <w:r w:rsidR="00A73C82">
        <w:rPr>
          <w:rFonts w:ascii="Times New Roman" w:hAnsi="Times New Roman" w:cs="Times New Roman"/>
          <w:sz w:val="23"/>
          <w:szCs w:val="23"/>
        </w:rPr>
        <w:t xml:space="preserve"> en dólares, las </w:t>
      </w:r>
      <w:r w:rsidR="0065390F">
        <w:rPr>
          <w:rFonts w:ascii="Times New Roman" w:hAnsi="Times New Roman" w:cs="Times New Roman"/>
          <w:sz w:val="23"/>
          <w:szCs w:val="23"/>
        </w:rPr>
        <w:t xml:space="preserve">que </w:t>
      </w:r>
      <w:r w:rsidR="0078084B">
        <w:rPr>
          <w:rFonts w:ascii="Times New Roman" w:hAnsi="Times New Roman" w:cs="Times New Roman"/>
          <w:sz w:val="23"/>
          <w:szCs w:val="23"/>
        </w:rPr>
        <w:t xml:space="preserve">si bien </w:t>
      </w:r>
      <w:r w:rsidR="0065390F">
        <w:rPr>
          <w:rFonts w:ascii="Times New Roman" w:hAnsi="Times New Roman" w:cs="Times New Roman"/>
          <w:sz w:val="23"/>
          <w:szCs w:val="23"/>
        </w:rPr>
        <w:t xml:space="preserve">siguen siendo extraordinariamente bajas lo son en reflejo de </w:t>
      </w:r>
      <w:r w:rsidR="00A73C82">
        <w:rPr>
          <w:rFonts w:ascii="Times New Roman" w:hAnsi="Times New Roman" w:cs="Times New Roman"/>
          <w:sz w:val="23"/>
          <w:szCs w:val="23"/>
        </w:rPr>
        <w:t xml:space="preserve">una </w:t>
      </w:r>
      <w:r w:rsidR="0065390F">
        <w:rPr>
          <w:rFonts w:ascii="Times New Roman" w:hAnsi="Times New Roman" w:cs="Times New Roman"/>
          <w:sz w:val="23"/>
          <w:szCs w:val="23"/>
        </w:rPr>
        <w:t xml:space="preserve">política monetaria que podría </w:t>
      </w:r>
      <w:r>
        <w:rPr>
          <w:rFonts w:ascii="Times New Roman" w:hAnsi="Times New Roman" w:cs="Times New Roman"/>
          <w:sz w:val="23"/>
          <w:szCs w:val="23"/>
        </w:rPr>
        <w:t xml:space="preserve">ser </w:t>
      </w:r>
      <w:r w:rsidR="00377F4F">
        <w:rPr>
          <w:rFonts w:ascii="Times New Roman" w:hAnsi="Times New Roman" w:cs="Times New Roman"/>
          <w:sz w:val="23"/>
          <w:szCs w:val="23"/>
        </w:rPr>
        <w:t xml:space="preserve">abruptamente corregida </w:t>
      </w:r>
      <w:r w:rsidR="0065390F">
        <w:rPr>
          <w:rFonts w:ascii="Times New Roman" w:hAnsi="Times New Roman" w:cs="Times New Roman"/>
          <w:sz w:val="23"/>
          <w:szCs w:val="23"/>
        </w:rPr>
        <w:t xml:space="preserve">frente a </w:t>
      </w:r>
      <w:r w:rsidR="00504F0D">
        <w:rPr>
          <w:rFonts w:ascii="Times New Roman" w:hAnsi="Times New Roman" w:cs="Times New Roman"/>
          <w:sz w:val="23"/>
          <w:szCs w:val="23"/>
        </w:rPr>
        <w:t xml:space="preserve">la emergencia de </w:t>
      </w:r>
      <w:r w:rsidR="0065390F">
        <w:rPr>
          <w:rFonts w:ascii="Times New Roman" w:hAnsi="Times New Roman" w:cs="Times New Roman"/>
          <w:sz w:val="23"/>
          <w:szCs w:val="23"/>
        </w:rPr>
        <w:t>presiones inflacionarias</w:t>
      </w:r>
      <w:r w:rsidR="00377F4F">
        <w:rPr>
          <w:rFonts w:ascii="Times New Roman" w:hAnsi="Times New Roman" w:cs="Times New Roman"/>
          <w:sz w:val="23"/>
          <w:szCs w:val="23"/>
        </w:rPr>
        <w:t xml:space="preserve">. Esto </w:t>
      </w:r>
      <w:r w:rsidR="005C3718">
        <w:rPr>
          <w:rFonts w:ascii="Times New Roman" w:hAnsi="Times New Roman" w:cs="Times New Roman"/>
          <w:sz w:val="23"/>
          <w:szCs w:val="23"/>
        </w:rPr>
        <w:t xml:space="preserve">podría tener un </w:t>
      </w:r>
      <w:r w:rsidR="0065390F">
        <w:rPr>
          <w:rFonts w:ascii="Times New Roman" w:hAnsi="Times New Roman" w:cs="Times New Roman"/>
          <w:sz w:val="23"/>
          <w:szCs w:val="23"/>
        </w:rPr>
        <w:t xml:space="preserve">fuerte impacto sobre el valor del peso </w:t>
      </w:r>
      <w:r w:rsidR="005C3718">
        <w:rPr>
          <w:rFonts w:ascii="Times New Roman" w:hAnsi="Times New Roman" w:cs="Times New Roman"/>
          <w:sz w:val="23"/>
          <w:szCs w:val="23"/>
        </w:rPr>
        <w:t>y</w:t>
      </w:r>
      <w:r w:rsidR="001F3E30">
        <w:rPr>
          <w:rFonts w:ascii="Times New Roman" w:hAnsi="Times New Roman" w:cs="Times New Roman"/>
          <w:sz w:val="23"/>
          <w:szCs w:val="23"/>
        </w:rPr>
        <w:t xml:space="preserve"> aumentar</w:t>
      </w:r>
      <w:r w:rsidR="005C3718">
        <w:rPr>
          <w:rFonts w:ascii="Times New Roman" w:hAnsi="Times New Roman" w:cs="Times New Roman"/>
          <w:sz w:val="23"/>
          <w:szCs w:val="23"/>
        </w:rPr>
        <w:t xml:space="preserve"> </w:t>
      </w:r>
      <w:r w:rsidR="0065390F">
        <w:rPr>
          <w:rFonts w:ascii="Times New Roman" w:hAnsi="Times New Roman" w:cs="Times New Roman"/>
          <w:sz w:val="23"/>
          <w:szCs w:val="23"/>
        </w:rPr>
        <w:t>la inflación de transables.</w:t>
      </w:r>
      <w:bookmarkStart w:id="0" w:name="_GoBack"/>
      <w:bookmarkEnd w:id="0"/>
    </w:p>
    <w:p w:rsidR="002E5F50" w:rsidRDefault="002E5F50" w:rsidP="00102988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45C4B" w:rsidRDefault="005C3718" w:rsidP="00102988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Hay riesgos en </w:t>
      </w:r>
      <w:r w:rsidR="00A73C82">
        <w:rPr>
          <w:rFonts w:ascii="Times New Roman" w:hAnsi="Times New Roman" w:cs="Times New Roman"/>
          <w:sz w:val="23"/>
          <w:szCs w:val="23"/>
        </w:rPr>
        <w:t>ambos sentidos</w:t>
      </w:r>
      <w:r>
        <w:rPr>
          <w:rFonts w:ascii="Times New Roman" w:hAnsi="Times New Roman" w:cs="Times New Roman"/>
          <w:sz w:val="23"/>
          <w:szCs w:val="23"/>
        </w:rPr>
        <w:t xml:space="preserve">, pero </w:t>
      </w:r>
      <w:r w:rsidR="00A73C82">
        <w:rPr>
          <w:rFonts w:ascii="Times New Roman" w:hAnsi="Times New Roman" w:cs="Times New Roman"/>
          <w:sz w:val="23"/>
          <w:szCs w:val="23"/>
        </w:rPr>
        <w:t xml:space="preserve">la inflación doméstica </w:t>
      </w:r>
      <w:r w:rsidR="00377F4F">
        <w:rPr>
          <w:rFonts w:ascii="Times New Roman" w:hAnsi="Times New Roman" w:cs="Times New Roman"/>
          <w:sz w:val="23"/>
          <w:szCs w:val="23"/>
        </w:rPr>
        <w:t xml:space="preserve">ya </w:t>
      </w:r>
      <w:r w:rsidR="00A73C82">
        <w:rPr>
          <w:rFonts w:ascii="Times New Roman" w:hAnsi="Times New Roman" w:cs="Times New Roman"/>
          <w:sz w:val="23"/>
          <w:szCs w:val="23"/>
        </w:rPr>
        <w:t xml:space="preserve">está bajo la meta y </w:t>
      </w:r>
      <w:r>
        <w:rPr>
          <w:rFonts w:ascii="Times New Roman" w:hAnsi="Times New Roman" w:cs="Times New Roman"/>
          <w:sz w:val="23"/>
          <w:szCs w:val="23"/>
        </w:rPr>
        <w:t xml:space="preserve">la brecha de capacidad se sigue ampliando, </w:t>
      </w:r>
      <w:r w:rsidR="00A73C82">
        <w:rPr>
          <w:rFonts w:ascii="Times New Roman" w:hAnsi="Times New Roman" w:cs="Times New Roman"/>
          <w:sz w:val="23"/>
          <w:szCs w:val="23"/>
        </w:rPr>
        <w:t>lo que haría más urgente evitar los riesgos deflacionarios</w:t>
      </w:r>
      <w:r w:rsidR="00C4136D">
        <w:rPr>
          <w:rFonts w:ascii="Times New Roman" w:hAnsi="Times New Roman" w:cs="Times New Roman"/>
          <w:sz w:val="23"/>
          <w:szCs w:val="23"/>
        </w:rPr>
        <w:t>. Esto se lograría mediante</w:t>
      </w:r>
      <w:r w:rsidR="00377F4F">
        <w:rPr>
          <w:rFonts w:ascii="Times New Roman" w:hAnsi="Times New Roman" w:cs="Times New Roman"/>
          <w:sz w:val="23"/>
          <w:szCs w:val="23"/>
        </w:rPr>
        <w:t xml:space="preserve"> menores tasas locales que favorecerían tanto</w:t>
      </w:r>
      <w:r w:rsidR="00C4136D">
        <w:rPr>
          <w:rFonts w:ascii="Times New Roman" w:hAnsi="Times New Roman" w:cs="Times New Roman"/>
          <w:sz w:val="23"/>
          <w:szCs w:val="23"/>
        </w:rPr>
        <w:t xml:space="preserve"> </w:t>
      </w:r>
      <w:r w:rsidR="00504F0D">
        <w:rPr>
          <w:rFonts w:ascii="Times New Roman" w:hAnsi="Times New Roman" w:cs="Times New Roman"/>
          <w:sz w:val="23"/>
          <w:szCs w:val="23"/>
        </w:rPr>
        <w:t xml:space="preserve">a </w:t>
      </w:r>
      <w:r w:rsidR="00382FDE" w:rsidRPr="00DF6CD7">
        <w:rPr>
          <w:rFonts w:ascii="Times New Roman" w:hAnsi="Times New Roman" w:cs="Times New Roman"/>
          <w:sz w:val="23"/>
          <w:szCs w:val="23"/>
        </w:rPr>
        <w:t xml:space="preserve">una depreciación </w:t>
      </w:r>
      <w:r w:rsidR="00382FDE">
        <w:rPr>
          <w:rFonts w:ascii="Times New Roman" w:hAnsi="Times New Roman" w:cs="Times New Roman"/>
          <w:sz w:val="23"/>
          <w:szCs w:val="23"/>
        </w:rPr>
        <w:t xml:space="preserve">del peso </w:t>
      </w:r>
      <w:r w:rsidR="00A73C82">
        <w:rPr>
          <w:rFonts w:ascii="Times New Roman" w:hAnsi="Times New Roman" w:cs="Times New Roman"/>
          <w:sz w:val="23"/>
          <w:szCs w:val="23"/>
        </w:rPr>
        <w:t>como</w:t>
      </w:r>
      <w:r w:rsidR="00377F4F">
        <w:rPr>
          <w:rFonts w:ascii="Times New Roman" w:hAnsi="Times New Roman" w:cs="Times New Roman"/>
          <w:sz w:val="23"/>
          <w:szCs w:val="23"/>
        </w:rPr>
        <w:t xml:space="preserve"> </w:t>
      </w:r>
      <w:r w:rsidR="00504F0D">
        <w:rPr>
          <w:rFonts w:ascii="Times New Roman" w:hAnsi="Times New Roman" w:cs="Times New Roman"/>
          <w:sz w:val="23"/>
          <w:szCs w:val="23"/>
        </w:rPr>
        <w:t xml:space="preserve">a </w:t>
      </w:r>
      <w:r w:rsidR="00377F4F">
        <w:rPr>
          <w:rFonts w:ascii="Times New Roman" w:hAnsi="Times New Roman" w:cs="Times New Roman"/>
          <w:sz w:val="23"/>
          <w:szCs w:val="23"/>
        </w:rPr>
        <w:t xml:space="preserve">un </w:t>
      </w:r>
      <w:r w:rsidR="00A73C82">
        <w:rPr>
          <w:rFonts w:ascii="Times New Roman" w:hAnsi="Times New Roman" w:cs="Times New Roman"/>
          <w:sz w:val="23"/>
          <w:szCs w:val="23"/>
        </w:rPr>
        <w:t>aument</w:t>
      </w:r>
      <w:r w:rsidR="00C4136D">
        <w:rPr>
          <w:rFonts w:ascii="Times New Roman" w:hAnsi="Times New Roman" w:cs="Times New Roman"/>
          <w:sz w:val="23"/>
          <w:szCs w:val="23"/>
        </w:rPr>
        <w:t>o</w:t>
      </w:r>
      <w:r w:rsidR="00A73C82">
        <w:rPr>
          <w:rFonts w:ascii="Times New Roman" w:hAnsi="Times New Roman" w:cs="Times New Roman"/>
          <w:sz w:val="23"/>
          <w:szCs w:val="23"/>
        </w:rPr>
        <w:t xml:space="preserve"> </w:t>
      </w:r>
      <w:r w:rsidR="00C4136D">
        <w:rPr>
          <w:rFonts w:ascii="Times New Roman" w:hAnsi="Times New Roman" w:cs="Times New Roman"/>
          <w:sz w:val="23"/>
          <w:szCs w:val="23"/>
        </w:rPr>
        <w:t xml:space="preserve">en </w:t>
      </w:r>
      <w:r w:rsidR="00A73C82">
        <w:rPr>
          <w:rFonts w:ascii="Times New Roman" w:hAnsi="Times New Roman" w:cs="Times New Roman"/>
          <w:sz w:val="23"/>
          <w:szCs w:val="23"/>
        </w:rPr>
        <w:t xml:space="preserve">el ritmo de expansión de la </w:t>
      </w:r>
      <w:r w:rsidR="005A2009" w:rsidRPr="00DF6CD7">
        <w:rPr>
          <w:rFonts w:ascii="Times New Roman" w:hAnsi="Times New Roman" w:cs="Times New Roman"/>
          <w:sz w:val="23"/>
          <w:szCs w:val="23"/>
        </w:rPr>
        <w:t>actividad doméstica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A73C82">
        <w:rPr>
          <w:rFonts w:ascii="Times New Roman" w:hAnsi="Times New Roman" w:cs="Times New Roman"/>
          <w:sz w:val="23"/>
          <w:szCs w:val="23"/>
        </w:rPr>
        <w:t xml:space="preserve">Eventualmente </w:t>
      </w:r>
      <w:r>
        <w:rPr>
          <w:rFonts w:ascii="Times New Roman" w:hAnsi="Times New Roman" w:cs="Times New Roman"/>
          <w:sz w:val="23"/>
          <w:szCs w:val="23"/>
        </w:rPr>
        <w:t>l</w:t>
      </w:r>
      <w:r w:rsidR="00A73C82">
        <w:rPr>
          <w:rFonts w:ascii="Times New Roman" w:hAnsi="Times New Roman" w:cs="Times New Roman"/>
          <w:sz w:val="23"/>
          <w:szCs w:val="23"/>
        </w:rPr>
        <w:t xml:space="preserve">a depreciación podría </w:t>
      </w:r>
      <w:r w:rsidR="00C4136D">
        <w:rPr>
          <w:rFonts w:ascii="Times New Roman" w:hAnsi="Times New Roman" w:cs="Times New Roman"/>
          <w:sz w:val="23"/>
          <w:szCs w:val="23"/>
        </w:rPr>
        <w:t xml:space="preserve">llegar a ser </w:t>
      </w:r>
      <w:r w:rsidR="00A73C82">
        <w:rPr>
          <w:rFonts w:ascii="Times New Roman" w:hAnsi="Times New Roman" w:cs="Times New Roman"/>
          <w:sz w:val="23"/>
          <w:szCs w:val="23"/>
        </w:rPr>
        <w:t xml:space="preserve">excesiva, pero en las condiciones actuales parece haber márgenes y tiempo suficiente para </w:t>
      </w:r>
      <w:proofErr w:type="gramStart"/>
      <w:r w:rsidR="00A73C82">
        <w:rPr>
          <w:rFonts w:ascii="Times New Roman" w:hAnsi="Times New Roman" w:cs="Times New Roman"/>
          <w:sz w:val="23"/>
          <w:szCs w:val="23"/>
        </w:rPr>
        <w:t>que</w:t>
      </w:r>
      <w:proofErr w:type="gramEnd"/>
      <w:r w:rsidR="00A73C82">
        <w:rPr>
          <w:rFonts w:ascii="Times New Roman" w:hAnsi="Times New Roman" w:cs="Times New Roman"/>
          <w:sz w:val="23"/>
          <w:szCs w:val="23"/>
        </w:rPr>
        <w:t>, actuando con flexibilidad</w:t>
      </w:r>
      <w:r>
        <w:rPr>
          <w:rFonts w:ascii="Times New Roman" w:hAnsi="Times New Roman" w:cs="Times New Roman"/>
          <w:sz w:val="23"/>
          <w:szCs w:val="23"/>
        </w:rPr>
        <w:t>,</w:t>
      </w:r>
      <w:r w:rsidR="00A73C82">
        <w:rPr>
          <w:rFonts w:ascii="Times New Roman" w:hAnsi="Times New Roman" w:cs="Times New Roman"/>
          <w:sz w:val="23"/>
          <w:szCs w:val="23"/>
        </w:rPr>
        <w:t xml:space="preserve"> </w:t>
      </w:r>
      <w:r w:rsidR="00FB18C9">
        <w:rPr>
          <w:rFonts w:ascii="Times New Roman" w:hAnsi="Times New Roman" w:cs="Times New Roman"/>
          <w:sz w:val="23"/>
          <w:szCs w:val="23"/>
        </w:rPr>
        <w:t xml:space="preserve">la </w:t>
      </w:r>
      <w:r w:rsidR="00A73C82">
        <w:rPr>
          <w:rFonts w:ascii="Times New Roman" w:hAnsi="Times New Roman" w:cs="Times New Roman"/>
          <w:sz w:val="23"/>
          <w:szCs w:val="23"/>
        </w:rPr>
        <w:t xml:space="preserve">inflación </w:t>
      </w:r>
      <w:r w:rsidR="00377F4F">
        <w:rPr>
          <w:rFonts w:ascii="Times New Roman" w:hAnsi="Times New Roman" w:cs="Times New Roman"/>
          <w:sz w:val="23"/>
          <w:szCs w:val="23"/>
        </w:rPr>
        <w:t xml:space="preserve">regrese y </w:t>
      </w:r>
      <w:r w:rsidR="00FB18C9">
        <w:rPr>
          <w:rFonts w:ascii="Times New Roman" w:hAnsi="Times New Roman" w:cs="Times New Roman"/>
          <w:sz w:val="23"/>
          <w:szCs w:val="23"/>
        </w:rPr>
        <w:t xml:space="preserve">se mantenga al interior del rango </w:t>
      </w:r>
      <w:r w:rsidR="00A73C82">
        <w:rPr>
          <w:rFonts w:ascii="Times New Roman" w:hAnsi="Times New Roman" w:cs="Times New Roman"/>
          <w:sz w:val="23"/>
          <w:szCs w:val="23"/>
        </w:rPr>
        <w:t xml:space="preserve">meta. </w:t>
      </w:r>
    </w:p>
    <w:p w:rsidR="00645C4B" w:rsidRDefault="00645C4B" w:rsidP="00102988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16A60" w:rsidRPr="00605888" w:rsidRDefault="00566394" w:rsidP="00102988">
      <w:pPr>
        <w:shd w:val="clear" w:color="auto" w:fill="FCFCFE"/>
        <w:spacing w:beforeLines="1" w:before="2" w:afterLines="1" w:after="2" w:line="240" w:lineRule="auto"/>
        <w:jc w:val="both"/>
        <w:rPr>
          <w:rFonts w:ascii="Times New Roman" w:hAnsi="Times New Roman" w:cs="Times New Roman"/>
          <w:b/>
        </w:rPr>
      </w:pPr>
      <w:r w:rsidRPr="00DF6CD7">
        <w:rPr>
          <w:rFonts w:ascii="Times New Roman" w:hAnsi="Times New Roman" w:cs="Times New Roman"/>
          <w:b/>
          <w:sz w:val="23"/>
          <w:szCs w:val="23"/>
        </w:rPr>
        <w:t xml:space="preserve">En este contexto, el GPM recomienda </w:t>
      </w:r>
      <w:r w:rsidR="00FB18C9">
        <w:rPr>
          <w:rFonts w:ascii="Times New Roman" w:hAnsi="Times New Roman" w:cs="Times New Roman"/>
          <w:b/>
          <w:sz w:val="23"/>
          <w:szCs w:val="23"/>
        </w:rPr>
        <w:t xml:space="preserve">bajar </w:t>
      </w:r>
      <w:r w:rsidRPr="00DF6CD7">
        <w:rPr>
          <w:rFonts w:ascii="Times New Roman" w:hAnsi="Times New Roman" w:cs="Times New Roman"/>
          <w:b/>
          <w:sz w:val="23"/>
          <w:szCs w:val="23"/>
        </w:rPr>
        <w:t xml:space="preserve">la TPM </w:t>
      </w:r>
      <w:r w:rsidR="00FB18C9">
        <w:rPr>
          <w:rFonts w:ascii="Times New Roman" w:hAnsi="Times New Roman" w:cs="Times New Roman"/>
          <w:b/>
          <w:sz w:val="23"/>
          <w:szCs w:val="23"/>
        </w:rPr>
        <w:t>a</w:t>
      </w:r>
      <w:r w:rsidRPr="00DF6C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D15B3" w:rsidRPr="00DF6CD7">
        <w:rPr>
          <w:rFonts w:ascii="Times New Roman" w:hAnsi="Times New Roman" w:cs="Times New Roman"/>
          <w:b/>
          <w:sz w:val="23"/>
          <w:szCs w:val="23"/>
        </w:rPr>
        <w:t>2</w:t>
      </w:r>
      <w:r w:rsidRPr="00DF6CD7">
        <w:rPr>
          <w:rFonts w:ascii="Times New Roman" w:hAnsi="Times New Roman" w:cs="Times New Roman"/>
          <w:b/>
          <w:sz w:val="23"/>
          <w:szCs w:val="23"/>
        </w:rPr>
        <w:t>,</w:t>
      </w:r>
      <w:r w:rsidR="00FB18C9">
        <w:rPr>
          <w:rFonts w:ascii="Times New Roman" w:hAnsi="Times New Roman" w:cs="Times New Roman"/>
          <w:b/>
          <w:sz w:val="23"/>
          <w:szCs w:val="23"/>
        </w:rPr>
        <w:t>2</w:t>
      </w:r>
      <w:r w:rsidRPr="00DF6CD7">
        <w:rPr>
          <w:rFonts w:ascii="Times New Roman" w:hAnsi="Times New Roman" w:cs="Times New Roman"/>
          <w:b/>
          <w:sz w:val="23"/>
          <w:szCs w:val="23"/>
        </w:rPr>
        <w:t>5%</w:t>
      </w:r>
      <w:r w:rsidR="00FB18C9">
        <w:rPr>
          <w:rFonts w:ascii="Times New Roman" w:hAnsi="Times New Roman" w:cs="Times New Roman"/>
          <w:b/>
          <w:sz w:val="23"/>
          <w:szCs w:val="23"/>
        </w:rPr>
        <w:t xml:space="preserve"> anual</w:t>
      </w:r>
      <w:r w:rsidRPr="00DF6CD7">
        <w:rPr>
          <w:rFonts w:ascii="Times New Roman" w:hAnsi="Times New Roman" w:cs="Times New Roman"/>
          <w:b/>
          <w:sz w:val="23"/>
          <w:szCs w:val="23"/>
        </w:rPr>
        <w:t xml:space="preserve">, aclarando que </w:t>
      </w:r>
      <w:r w:rsidR="00FB18C9">
        <w:rPr>
          <w:rFonts w:ascii="Times New Roman" w:hAnsi="Times New Roman" w:cs="Times New Roman"/>
          <w:b/>
          <w:sz w:val="23"/>
          <w:szCs w:val="23"/>
        </w:rPr>
        <w:t xml:space="preserve">las acciones </w:t>
      </w:r>
      <w:r w:rsidR="00AD59A1">
        <w:rPr>
          <w:rFonts w:ascii="Times New Roman" w:hAnsi="Times New Roman" w:cs="Times New Roman"/>
          <w:b/>
          <w:sz w:val="23"/>
          <w:szCs w:val="23"/>
        </w:rPr>
        <w:t>futur</w:t>
      </w:r>
      <w:r w:rsidR="00FB18C9">
        <w:rPr>
          <w:rFonts w:ascii="Times New Roman" w:hAnsi="Times New Roman" w:cs="Times New Roman"/>
          <w:b/>
          <w:sz w:val="23"/>
          <w:szCs w:val="23"/>
        </w:rPr>
        <w:t xml:space="preserve">as deben </w:t>
      </w:r>
      <w:r w:rsidRPr="00DF6CD7">
        <w:rPr>
          <w:rFonts w:ascii="Times New Roman" w:hAnsi="Times New Roman" w:cs="Times New Roman"/>
          <w:b/>
          <w:sz w:val="23"/>
          <w:szCs w:val="23"/>
        </w:rPr>
        <w:t xml:space="preserve">depender de </w:t>
      </w:r>
      <w:r w:rsidR="00AD59A1">
        <w:rPr>
          <w:rFonts w:ascii="Times New Roman" w:hAnsi="Times New Roman" w:cs="Times New Roman"/>
          <w:b/>
          <w:sz w:val="23"/>
          <w:szCs w:val="23"/>
        </w:rPr>
        <w:t>la evolución de</w:t>
      </w:r>
      <w:r w:rsidR="00F20BDA">
        <w:rPr>
          <w:rFonts w:ascii="Times New Roman" w:hAnsi="Times New Roman" w:cs="Times New Roman"/>
          <w:b/>
          <w:sz w:val="23"/>
          <w:szCs w:val="23"/>
        </w:rPr>
        <w:t xml:space="preserve"> los </w:t>
      </w:r>
      <w:r w:rsidR="00793BD7" w:rsidRPr="00DF6CD7">
        <w:rPr>
          <w:rFonts w:ascii="Times New Roman" w:hAnsi="Times New Roman" w:cs="Times New Roman"/>
          <w:b/>
          <w:sz w:val="23"/>
          <w:szCs w:val="23"/>
        </w:rPr>
        <w:t>escenario</w:t>
      </w:r>
      <w:r w:rsidR="00F20BDA">
        <w:rPr>
          <w:rFonts w:ascii="Times New Roman" w:hAnsi="Times New Roman" w:cs="Times New Roman"/>
          <w:b/>
          <w:sz w:val="23"/>
          <w:szCs w:val="23"/>
        </w:rPr>
        <w:t>s</w:t>
      </w:r>
      <w:r w:rsidR="00793BD7" w:rsidRPr="00DF6CD7">
        <w:rPr>
          <w:rFonts w:ascii="Times New Roman" w:hAnsi="Times New Roman" w:cs="Times New Roman"/>
          <w:b/>
          <w:sz w:val="23"/>
          <w:szCs w:val="23"/>
        </w:rPr>
        <w:t xml:space="preserve"> doméstico e internacional</w:t>
      </w:r>
      <w:r w:rsidR="00F20BDA">
        <w:rPr>
          <w:rFonts w:ascii="Times New Roman" w:hAnsi="Times New Roman" w:cs="Times New Roman"/>
          <w:b/>
          <w:sz w:val="23"/>
          <w:szCs w:val="23"/>
        </w:rPr>
        <w:t>,</w:t>
      </w:r>
      <w:r w:rsidR="00793BD7" w:rsidRPr="00DF6C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0BDA">
        <w:rPr>
          <w:rFonts w:ascii="Times New Roman" w:hAnsi="Times New Roman" w:cs="Times New Roman"/>
          <w:b/>
          <w:sz w:val="23"/>
          <w:szCs w:val="23"/>
        </w:rPr>
        <w:t xml:space="preserve">para permitir </w:t>
      </w:r>
      <w:r w:rsidR="00AD59A1">
        <w:rPr>
          <w:rFonts w:ascii="Times New Roman" w:hAnsi="Times New Roman" w:cs="Times New Roman"/>
          <w:b/>
          <w:sz w:val="23"/>
          <w:szCs w:val="23"/>
        </w:rPr>
        <w:t xml:space="preserve">una normalización de la tasa de inflación en línea con su meta. </w:t>
      </w:r>
    </w:p>
    <w:sectPr w:rsidR="00016A60" w:rsidRPr="00605888" w:rsidSect="001E0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2C" w:rsidRDefault="00BB282C" w:rsidP="00A24BF5">
      <w:pPr>
        <w:spacing w:after="0" w:line="240" w:lineRule="auto"/>
      </w:pPr>
      <w:r>
        <w:separator/>
      </w:r>
    </w:p>
  </w:endnote>
  <w:endnote w:type="continuationSeparator" w:id="0">
    <w:p w:rsidR="00BB282C" w:rsidRDefault="00BB282C" w:rsidP="00A2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2C" w:rsidRDefault="00BB282C" w:rsidP="00A24BF5">
      <w:pPr>
        <w:spacing w:after="0" w:line="240" w:lineRule="auto"/>
      </w:pPr>
      <w:r>
        <w:separator/>
      </w:r>
    </w:p>
  </w:footnote>
  <w:footnote w:type="continuationSeparator" w:id="0">
    <w:p w:rsidR="00BB282C" w:rsidRDefault="00BB282C" w:rsidP="00A2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C0B"/>
    <w:multiLevelType w:val="hybridMultilevel"/>
    <w:tmpl w:val="127C6518"/>
    <w:lvl w:ilvl="0" w:tplc="C478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101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4241B"/>
    <w:multiLevelType w:val="hybridMultilevel"/>
    <w:tmpl w:val="A33811CA"/>
    <w:lvl w:ilvl="0" w:tplc="AFAAA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D852FA">
      <w:start w:val="9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A23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92C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50B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124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018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E6B1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C5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11C109C"/>
    <w:multiLevelType w:val="hybridMultilevel"/>
    <w:tmpl w:val="C6E49AFA"/>
    <w:lvl w:ilvl="0" w:tplc="F9A2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C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8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F2DE1"/>
    <w:multiLevelType w:val="hybridMultilevel"/>
    <w:tmpl w:val="9622277C"/>
    <w:lvl w:ilvl="0" w:tplc="0AE8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6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F11D28"/>
    <w:multiLevelType w:val="hybridMultilevel"/>
    <w:tmpl w:val="69543F42"/>
    <w:lvl w:ilvl="0" w:tplc="4890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4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4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6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B44D8D"/>
    <w:multiLevelType w:val="hybridMultilevel"/>
    <w:tmpl w:val="CC903C2A"/>
    <w:lvl w:ilvl="0" w:tplc="8E4E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BE5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6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2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8E451E"/>
    <w:multiLevelType w:val="hybridMultilevel"/>
    <w:tmpl w:val="A462EBBE"/>
    <w:lvl w:ilvl="0" w:tplc="73A8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0A7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0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2E17F7"/>
    <w:multiLevelType w:val="hybridMultilevel"/>
    <w:tmpl w:val="1B9A660A"/>
    <w:lvl w:ilvl="0" w:tplc="25E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4AE2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8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E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BE5E05"/>
    <w:multiLevelType w:val="hybridMultilevel"/>
    <w:tmpl w:val="539A8D92"/>
    <w:lvl w:ilvl="0" w:tplc="BAD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F940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B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D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087CC0"/>
    <w:multiLevelType w:val="hybridMultilevel"/>
    <w:tmpl w:val="3DEAA696"/>
    <w:lvl w:ilvl="0" w:tplc="5394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0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6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0C18C1"/>
    <w:multiLevelType w:val="hybridMultilevel"/>
    <w:tmpl w:val="9482E124"/>
    <w:lvl w:ilvl="0" w:tplc="B524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135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2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DC"/>
    <w:rsid w:val="00013684"/>
    <w:rsid w:val="00016A60"/>
    <w:rsid w:val="00021E5B"/>
    <w:rsid w:val="00021F6F"/>
    <w:rsid w:val="00033F10"/>
    <w:rsid w:val="00044D33"/>
    <w:rsid w:val="00050191"/>
    <w:rsid w:val="000502A0"/>
    <w:rsid w:val="000565CF"/>
    <w:rsid w:val="00090B2C"/>
    <w:rsid w:val="000948AB"/>
    <w:rsid w:val="000D0995"/>
    <w:rsid w:val="000D0EC2"/>
    <w:rsid w:val="000D10F1"/>
    <w:rsid w:val="000D1A49"/>
    <w:rsid w:val="000F1093"/>
    <w:rsid w:val="000F3948"/>
    <w:rsid w:val="000F4B00"/>
    <w:rsid w:val="00102988"/>
    <w:rsid w:val="00103776"/>
    <w:rsid w:val="00106A0E"/>
    <w:rsid w:val="001176C0"/>
    <w:rsid w:val="00124D7F"/>
    <w:rsid w:val="0013158F"/>
    <w:rsid w:val="0013401D"/>
    <w:rsid w:val="00145639"/>
    <w:rsid w:val="001473FA"/>
    <w:rsid w:val="00155C65"/>
    <w:rsid w:val="00157F06"/>
    <w:rsid w:val="00174C44"/>
    <w:rsid w:val="00191240"/>
    <w:rsid w:val="001A0D1C"/>
    <w:rsid w:val="001A74FB"/>
    <w:rsid w:val="001B01C0"/>
    <w:rsid w:val="001B1B17"/>
    <w:rsid w:val="001B209B"/>
    <w:rsid w:val="001C234D"/>
    <w:rsid w:val="001C5CE5"/>
    <w:rsid w:val="001D3BF7"/>
    <w:rsid w:val="001D41B5"/>
    <w:rsid w:val="001E05F0"/>
    <w:rsid w:val="001E1C93"/>
    <w:rsid w:val="001F0952"/>
    <w:rsid w:val="001F3E30"/>
    <w:rsid w:val="00207054"/>
    <w:rsid w:val="00211CBD"/>
    <w:rsid w:val="0021616B"/>
    <w:rsid w:val="00217B50"/>
    <w:rsid w:val="00222940"/>
    <w:rsid w:val="00236761"/>
    <w:rsid w:val="002412DE"/>
    <w:rsid w:val="002704B7"/>
    <w:rsid w:val="00286592"/>
    <w:rsid w:val="002A28CE"/>
    <w:rsid w:val="002B0C6A"/>
    <w:rsid w:val="002B7F78"/>
    <w:rsid w:val="002D6222"/>
    <w:rsid w:val="002E2077"/>
    <w:rsid w:val="002E5F50"/>
    <w:rsid w:val="002E637C"/>
    <w:rsid w:val="002F122C"/>
    <w:rsid w:val="00300005"/>
    <w:rsid w:val="00306156"/>
    <w:rsid w:val="0032646E"/>
    <w:rsid w:val="0033203B"/>
    <w:rsid w:val="003344E7"/>
    <w:rsid w:val="003406D9"/>
    <w:rsid w:val="0034573E"/>
    <w:rsid w:val="003470E5"/>
    <w:rsid w:val="003579F4"/>
    <w:rsid w:val="00365580"/>
    <w:rsid w:val="00373029"/>
    <w:rsid w:val="00377F4F"/>
    <w:rsid w:val="00382464"/>
    <w:rsid w:val="00382FDE"/>
    <w:rsid w:val="003866F3"/>
    <w:rsid w:val="0039056C"/>
    <w:rsid w:val="003A3484"/>
    <w:rsid w:val="003B3237"/>
    <w:rsid w:val="003B612F"/>
    <w:rsid w:val="003E1D8A"/>
    <w:rsid w:val="004152E3"/>
    <w:rsid w:val="00424B73"/>
    <w:rsid w:val="00426BDB"/>
    <w:rsid w:val="00427597"/>
    <w:rsid w:val="00430550"/>
    <w:rsid w:val="00434B83"/>
    <w:rsid w:val="00435E86"/>
    <w:rsid w:val="004462FB"/>
    <w:rsid w:val="00447AF5"/>
    <w:rsid w:val="00455868"/>
    <w:rsid w:val="0046427B"/>
    <w:rsid w:val="00486DC1"/>
    <w:rsid w:val="00497FF2"/>
    <w:rsid w:val="004B130A"/>
    <w:rsid w:val="004C2191"/>
    <w:rsid w:val="004C36FE"/>
    <w:rsid w:val="004D2E85"/>
    <w:rsid w:val="004D611E"/>
    <w:rsid w:val="004E7F47"/>
    <w:rsid w:val="00501AB7"/>
    <w:rsid w:val="00504F0D"/>
    <w:rsid w:val="005063F3"/>
    <w:rsid w:val="0051187A"/>
    <w:rsid w:val="0051683B"/>
    <w:rsid w:val="00530683"/>
    <w:rsid w:val="00554583"/>
    <w:rsid w:val="00556D25"/>
    <w:rsid w:val="00563993"/>
    <w:rsid w:val="00566394"/>
    <w:rsid w:val="00576FEE"/>
    <w:rsid w:val="00586D0D"/>
    <w:rsid w:val="00596C2F"/>
    <w:rsid w:val="005A09F8"/>
    <w:rsid w:val="005A0BF9"/>
    <w:rsid w:val="005A2009"/>
    <w:rsid w:val="005A73B0"/>
    <w:rsid w:val="005B256A"/>
    <w:rsid w:val="005B4D79"/>
    <w:rsid w:val="005B5148"/>
    <w:rsid w:val="005C3718"/>
    <w:rsid w:val="005C5E9D"/>
    <w:rsid w:val="005C69FB"/>
    <w:rsid w:val="005D15B3"/>
    <w:rsid w:val="00602631"/>
    <w:rsid w:val="00605888"/>
    <w:rsid w:val="00612783"/>
    <w:rsid w:val="00615AF9"/>
    <w:rsid w:val="006441CC"/>
    <w:rsid w:val="00645C4B"/>
    <w:rsid w:val="00647196"/>
    <w:rsid w:val="0065288C"/>
    <w:rsid w:val="0065387B"/>
    <w:rsid w:val="0065390F"/>
    <w:rsid w:val="00661AF9"/>
    <w:rsid w:val="00665FF9"/>
    <w:rsid w:val="006704F2"/>
    <w:rsid w:val="006A50A5"/>
    <w:rsid w:val="006C1265"/>
    <w:rsid w:val="006C2F8C"/>
    <w:rsid w:val="006D188B"/>
    <w:rsid w:val="006D2310"/>
    <w:rsid w:val="006F5B45"/>
    <w:rsid w:val="006F76A6"/>
    <w:rsid w:val="00706A5F"/>
    <w:rsid w:val="007546C7"/>
    <w:rsid w:val="007716D3"/>
    <w:rsid w:val="007727DB"/>
    <w:rsid w:val="007743F2"/>
    <w:rsid w:val="0078084B"/>
    <w:rsid w:val="00790B41"/>
    <w:rsid w:val="00793BD7"/>
    <w:rsid w:val="007B0DD2"/>
    <w:rsid w:val="007B2775"/>
    <w:rsid w:val="007C0D4E"/>
    <w:rsid w:val="007C5A0D"/>
    <w:rsid w:val="007D0076"/>
    <w:rsid w:val="007D1F8F"/>
    <w:rsid w:val="007D6B4E"/>
    <w:rsid w:val="007E78F8"/>
    <w:rsid w:val="00803467"/>
    <w:rsid w:val="008047B1"/>
    <w:rsid w:val="00813955"/>
    <w:rsid w:val="0082202A"/>
    <w:rsid w:val="00824130"/>
    <w:rsid w:val="00837E83"/>
    <w:rsid w:val="00840572"/>
    <w:rsid w:val="00844E23"/>
    <w:rsid w:val="008704B7"/>
    <w:rsid w:val="00876D6E"/>
    <w:rsid w:val="00883A37"/>
    <w:rsid w:val="008840AB"/>
    <w:rsid w:val="00890D89"/>
    <w:rsid w:val="008A3A71"/>
    <w:rsid w:val="008A3FEE"/>
    <w:rsid w:val="008A40CB"/>
    <w:rsid w:val="008B3841"/>
    <w:rsid w:val="008F1AB0"/>
    <w:rsid w:val="008F60A7"/>
    <w:rsid w:val="008F7CB5"/>
    <w:rsid w:val="00903E59"/>
    <w:rsid w:val="009065C1"/>
    <w:rsid w:val="009176C4"/>
    <w:rsid w:val="00931821"/>
    <w:rsid w:val="009336B6"/>
    <w:rsid w:val="00937138"/>
    <w:rsid w:val="00940395"/>
    <w:rsid w:val="009403DF"/>
    <w:rsid w:val="00945172"/>
    <w:rsid w:val="009656A5"/>
    <w:rsid w:val="00971479"/>
    <w:rsid w:val="009722D6"/>
    <w:rsid w:val="00973FF3"/>
    <w:rsid w:val="009A40E4"/>
    <w:rsid w:val="009B2A6B"/>
    <w:rsid w:val="009B37F9"/>
    <w:rsid w:val="009B5C82"/>
    <w:rsid w:val="009B622E"/>
    <w:rsid w:val="009B7FF5"/>
    <w:rsid w:val="009C13A9"/>
    <w:rsid w:val="009C53B6"/>
    <w:rsid w:val="009D3CE4"/>
    <w:rsid w:val="009D3F9B"/>
    <w:rsid w:val="009D4B6B"/>
    <w:rsid w:val="009D5EF8"/>
    <w:rsid w:val="009E58E5"/>
    <w:rsid w:val="009F2679"/>
    <w:rsid w:val="009F5DA8"/>
    <w:rsid w:val="009F622C"/>
    <w:rsid w:val="009F79CC"/>
    <w:rsid w:val="00A01099"/>
    <w:rsid w:val="00A12A7A"/>
    <w:rsid w:val="00A16404"/>
    <w:rsid w:val="00A16F4B"/>
    <w:rsid w:val="00A2055B"/>
    <w:rsid w:val="00A23043"/>
    <w:rsid w:val="00A24BF5"/>
    <w:rsid w:val="00A35217"/>
    <w:rsid w:val="00A402C1"/>
    <w:rsid w:val="00A45840"/>
    <w:rsid w:val="00A5649F"/>
    <w:rsid w:val="00A629B8"/>
    <w:rsid w:val="00A71A1B"/>
    <w:rsid w:val="00A73C82"/>
    <w:rsid w:val="00A77923"/>
    <w:rsid w:val="00A913DE"/>
    <w:rsid w:val="00AA5CED"/>
    <w:rsid w:val="00AC15D4"/>
    <w:rsid w:val="00AD2709"/>
    <w:rsid w:val="00AD59A1"/>
    <w:rsid w:val="00AE60E0"/>
    <w:rsid w:val="00B0080B"/>
    <w:rsid w:val="00B02912"/>
    <w:rsid w:val="00B112BA"/>
    <w:rsid w:val="00B172FA"/>
    <w:rsid w:val="00B23A3D"/>
    <w:rsid w:val="00B40267"/>
    <w:rsid w:val="00B550BC"/>
    <w:rsid w:val="00B576E4"/>
    <w:rsid w:val="00B6374D"/>
    <w:rsid w:val="00B778E9"/>
    <w:rsid w:val="00B87930"/>
    <w:rsid w:val="00BA5E7A"/>
    <w:rsid w:val="00BA6C11"/>
    <w:rsid w:val="00BB282C"/>
    <w:rsid w:val="00BB297A"/>
    <w:rsid w:val="00BC7525"/>
    <w:rsid w:val="00BD3B4E"/>
    <w:rsid w:val="00BD65D7"/>
    <w:rsid w:val="00BF0AC0"/>
    <w:rsid w:val="00C025A4"/>
    <w:rsid w:val="00C03E4A"/>
    <w:rsid w:val="00C06105"/>
    <w:rsid w:val="00C1688D"/>
    <w:rsid w:val="00C20216"/>
    <w:rsid w:val="00C24554"/>
    <w:rsid w:val="00C3037A"/>
    <w:rsid w:val="00C4136D"/>
    <w:rsid w:val="00C52FE6"/>
    <w:rsid w:val="00C54217"/>
    <w:rsid w:val="00C71A30"/>
    <w:rsid w:val="00C77E8E"/>
    <w:rsid w:val="00C93414"/>
    <w:rsid w:val="00C973AC"/>
    <w:rsid w:val="00CB1018"/>
    <w:rsid w:val="00CB1AD3"/>
    <w:rsid w:val="00CB41E5"/>
    <w:rsid w:val="00CC00B7"/>
    <w:rsid w:val="00CC5152"/>
    <w:rsid w:val="00CD2F40"/>
    <w:rsid w:val="00CF70DC"/>
    <w:rsid w:val="00D0337F"/>
    <w:rsid w:val="00D1089A"/>
    <w:rsid w:val="00D14207"/>
    <w:rsid w:val="00D22CC3"/>
    <w:rsid w:val="00D35151"/>
    <w:rsid w:val="00D40FEF"/>
    <w:rsid w:val="00D41276"/>
    <w:rsid w:val="00D52DB0"/>
    <w:rsid w:val="00D626E1"/>
    <w:rsid w:val="00D84C68"/>
    <w:rsid w:val="00D94C9B"/>
    <w:rsid w:val="00DA2572"/>
    <w:rsid w:val="00DA3732"/>
    <w:rsid w:val="00DB4076"/>
    <w:rsid w:val="00DB7547"/>
    <w:rsid w:val="00DC26BC"/>
    <w:rsid w:val="00DC4FD3"/>
    <w:rsid w:val="00DD0A4D"/>
    <w:rsid w:val="00DF6CD7"/>
    <w:rsid w:val="00E06598"/>
    <w:rsid w:val="00E11A22"/>
    <w:rsid w:val="00E2296D"/>
    <w:rsid w:val="00E23AB8"/>
    <w:rsid w:val="00E36037"/>
    <w:rsid w:val="00E604AA"/>
    <w:rsid w:val="00E62EC2"/>
    <w:rsid w:val="00E67F4B"/>
    <w:rsid w:val="00E70E4B"/>
    <w:rsid w:val="00E91CD0"/>
    <w:rsid w:val="00EA0E16"/>
    <w:rsid w:val="00EA2A94"/>
    <w:rsid w:val="00EA55A3"/>
    <w:rsid w:val="00EB6A54"/>
    <w:rsid w:val="00EC3DDD"/>
    <w:rsid w:val="00EC4A22"/>
    <w:rsid w:val="00EC5FB5"/>
    <w:rsid w:val="00ED05F4"/>
    <w:rsid w:val="00ED14AC"/>
    <w:rsid w:val="00ED27E2"/>
    <w:rsid w:val="00ED77FF"/>
    <w:rsid w:val="00F03B13"/>
    <w:rsid w:val="00F078F9"/>
    <w:rsid w:val="00F20BDA"/>
    <w:rsid w:val="00F22FA4"/>
    <w:rsid w:val="00F3205B"/>
    <w:rsid w:val="00F40870"/>
    <w:rsid w:val="00F41132"/>
    <w:rsid w:val="00F42421"/>
    <w:rsid w:val="00F46758"/>
    <w:rsid w:val="00F47858"/>
    <w:rsid w:val="00F6655B"/>
    <w:rsid w:val="00F74381"/>
    <w:rsid w:val="00FB0A49"/>
    <w:rsid w:val="00FB0CCA"/>
    <w:rsid w:val="00FB18C9"/>
    <w:rsid w:val="00FB58D7"/>
    <w:rsid w:val="00FD0A22"/>
    <w:rsid w:val="00FD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B30F-3A61-4D3F-9C17-F27F18A8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530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3068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50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0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0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0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0A5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065C1"/>
    <w:rPr>
      <w:b/>
      <w:bCs/>
    </w:rPr>
  </w:style>
  <w:style w:type="paragraph" w:styleId="NormalWeb">
    <w:name w:val="Normal (Web)"/>
    <w:basedOn w:val="Normal"/>
    <w:uiPriority w:val="99"/>
    <w:unhideWhenUsed/>
    <w:rsid w:val="0090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9336B6"/>
  </w:style>
  <w:style w:type="character" w:styleId="nfasis">
    <w:name w:val="Emphasis"/>
    <w:basedOn w:val="Fuentedeprrafopredeter"/>
    <w:uiPriority w:val="20"/>
    <w:qFormat/>
    <w:rsid w:val="00837E83"/>
    <w:rPr>
      <w:i/>
      <w:iCs/>
    </w:rPr>
  </w:style>
  <w:style w:type="paragraph" w:styleId="Prrafodelista">
    <w:name w:val="List Paragraph"/>
    <w:basedOn w:val="Normal"/>
    <w:uiPriority w:val="34"/>
    <w:qFormat/>
    <w:rsid w:val="00F66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502A0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F42421"/>
  </w:style>
  <w:style w:type="paragraph" w:styleId="Encabezado">
    <w:name w:val="header"/>
    <w:basedOn w:val="Normal"/>
    <w:link w:val="EncabezadoCar"/>
    <w:uiPriority w:val="99"/>
    <w:unhideWhenUsed/>
    <w:rsid w:val="00A24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BF5"/>
  </w:style>
  <w:style w:type="paragraph" w:styleId="Piedepgina">
    <w:name w:val="footer"/>
    <w:basedOn w:val="Normal"/>
    <w:link w:val="PiedepginaCar"/>
    <w:uiPriority w:val="99"/>
    <w:unhideWhenUsed/>
    <w:rsid w:val="00A24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66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5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3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2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10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73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04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35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88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78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973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8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61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1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6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20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5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25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0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7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17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27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606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9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08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4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5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5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6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364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39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2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59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30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2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77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6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4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05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70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0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83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87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0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50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10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C7A2-B18E-40E4-BE56-6CFA77F9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1064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Hernández</dc:creator>
  <cp:lastModifiedBy>Sala de Reuniones</cp:lastModifiedBy>
  <cp:revision>30</cp:revision>
  <cp:lastPrinted>2014-04-16T14:02:00Z</cp:lastPrinted>
  <dcterms:created xsi:type="dcterms:W3CDTF">2017-07-03T21:46:00Z</dcterms:created>
  <dcterms:modified xsi:type="dcterms:W3CDTF">2017-07-12T13:06:00Z</dcterms:modified>
</cp:coreProperties>
</file>