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3E0DE" w14:textId="77777777" w:rsidR="00530683" w:rsidRPr="005E0F83" w:rsidRDefault="00530683" w:rsidP="00FA6512">
      <w:pPr>
        <w:pStyle w:val="Ttulo"/>
        <w:ind w:left="-539" w:right="-522"/>
        <w:outlineLvl w:val="0"/>
        <w:rPr>
          <w:b w:val="0"/>
          <w:color w:val="000000"/>
          <w:spacing w:val="20"/>
        </w:rPr>
      </w:pPr>
      <w:r w:rsidRPr="005E0F83">
        <w:rPr>
          <w:b w:val="0"/>
          <w:color w:val="000000"/>
          <w:spacing w:val="20"/>
        </w:rPr>
        <w:t>GRUPO DE POLÍTICA MONETARIA</w:t>
      </w:r>
    </w:p>
    <w:p w14:paraId="42E514B9" w14:textId="0EED8C59" w:rsidR="004C2191" w:rsidRPr="00251007" w:rsidRDefault="00251007" w:rsidP="00251007">
      <w:pPr>
        <w:pStyle w:val="Ttulo"/>
        <w:pBdr>
          <w:bottom w:val="single" w:sz="12" w:space="1" w:color="auto"/>
        </w:pBdr>
        <w:ind w:left="-539" w:right="-522"/>
        <w:rPr>
          <w:b w:val="0"/>
          <w:color w:val="808080"/>
        </w:rPr>
      </w:pPr>
      <w:r w:rsidRPr="005E0F83">
        <w:rPr>
          <w:b w:val="0"/>
          <w:noProof/>
          <w:lang w:val="en-US" w:eastAsia="en-US"/>
        </w:rPr>
        <w:drawing>
          <wp:anchor distT="0" distB="0" distL="114300" distR="114300" simplePos="0" relativeHeight="251658240" behindDoc="0" locked="0" layoutInCell="0" allowOverlap="1" wp14:anchorId="20052B0D" wp14:editId="0E972225">
            <wp:simplePos x="0" y="0"/>
            <wp:positionH relativeFrom="column">
              <wp:posOffset>-562399</wp:posOffset>
            </wp:positionH>
            <wp:positionV relativeFrom="paragraph">
              <wp:posOffset>275167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6C11" w:rsidRPr="005E0F83">
        <w:rPr>
          <w:b w:val="0"/>
          <w:color w:val="808080"/>
        </w:rPr>
        <w:t xml:space="preserve">Comunicado </w:t>
      </w:r>
      <w:r w:rsidR="00970F51" w:rsidRPr="005E0F83">
        <w:rPr>
          <w:b w:val="0"/>
          <w:color w:val="808080"/>
        </w:rPr>
        <w:t>Lunes</w:t>
      </w:r>
      <w:r w:rsidR="00DD6D2C" w:rsidRPr="005E0F83">
        <w:rPr>
          <w:b w:val="0"/>
          <w:color w:val="808080"/>
        </w:rPr>
        <w:t xml:space="preserve"> 3</w:t>
      </w:r>
      <w:r w:rsidR="00530683" w:rsidRPr="005E0F83">
        <w:rPr>
          <w:b w:val="0"/>
          <w:color w:val="808080"/>
        </w:rPr>
        <w:t xml:space="preserve"> de </w:t>
      </w:r>
      <w:r w:rsidR="00A71506" w:rsidRPr="005E0F83">
        <w:rPr>
          <w:b w:val="0"/>
          <w:color w:val="808080"/>
        </w:rPr>
        <w:t>diciembre</w:t>
      </w:r>
    </w:p>
    <w:p w14:paraId="6958DA91" w14:textId="0D714042" w:rsidR="00530683" w:rsidRPr="005E0F83" w:rsidRDefault="00970F51" w:rsidP="00FA6512">
      <w:pPr>
        <w:jc w:val="center"/>
        <w:outlineLvl w:val="0"/>
        <w:rPr>
          <w:lang w:val="es-ES"/>
        </w:rPr>
      </w:pPr>
      <w:r w:rsidRPr="005E0F83">
        <w:rPr>
          <w:lang w:val="es-ES"/>
        </w:rPr>
        <w:t xml:space="preserve">CARLOS BUDNEVICH, </w:t>
      </w:r>
      <w:r w:rsidR="00A629B8" w:rsidRPr="005E0F83">
        <w:rPr>
          <w:lang w:val="es-ES"/>
        </w:rPr>
        <w:t>TOMÁS IZQUIERDO</w:t>
      </w:r>
      <w:r w:rsidR="005D237B" w:rsidRPr="005E0F83">
        <w:rPr>
          <w:lang w:val="es-ES"/>
        </w:rPr>
        <w:t xml:space="preserve">, </w:t>
      </w:r>
      <w:r w:rsidR="00A629B8" w:rsidRPr="005E0F83">
        <w:rPr>
          <w:lang w:val="es-ES"/>
        </w:rPr>
        <w:t>GUILLERMO LE FORT</w:t>
      </w:r>
      <w:r w:rsidR="005D237B" w:rsidRPr="005E0F83">
        <w:rPr>
          <w:lang w:val="es-ES"/>
        </w:rPr>
        <w:t xml:space="preserve">, </w:t>
      </w:r>
      <w:r w:rsidRPr="005E0F83">
        <w:rPr>
          <w:lang w:val="es-ES"/>
        </w:rPr>
        <w:t>JUAN PABLO MEDINA</w:t>
      </w:r>
      <w:r w:rsidR="00AF35AD">
        <w:rPr>
          <w:lang w:val="es-ES"/>
        </w:rPr>
        <w:t xml:space="preserve">, </w:t>
      </w:r>
      <w:r w:rsidR="005D237B" w:rsidRPr="005E0F83">
        <w:rPr>
          <w:lang w:val="es-ES"/>
        </w:rPr>
        <w:t>VERÓNICA MIES</w:t>
      </w:r>
    </w:p>
    <w:p w14:paraId="4836CA9B" w14:textId="77777777" w:rsidR="006F740B" w:rsidRPr="005E0F83" w:rsidRDefault="006F740B" w:rsidP="005E0F83">
      <w:pPr>
        <w:jc w:val="both"/>
        <w:rPr>
          <w:lang w:val="es-ES"/>
        </w:rPr>
      </w:pPr>
    </w:p>
    <w:p w14:paraId="12C6FE8F" w14:textId="57E9C4FF" w:rsidR="005E0F83" w:rsidRPr="00D92926" w:rsidRDefault="006F740B" w:rsidP="005E0F83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</w:pPr>
      <w:bookmarkStart w:id="0" w:name="_GoBack"/>
      <w:r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El </w:t>
      </w:r>
      <w:r w:rsidR="00251007" w:rsidRPr="00D92926">
        <w:rPr>
          <w:rFonts w:ascii="Times New Roman" w:hAnsi="Times New Roman" w:cs="Times New Roman"/>
          <w:b/>
          <w:sz w:val="22"/>
          <w:szCs w:val="22"/>
          <w:lang w:val="es-ES"/>
        </w:rPr>
        <w:t>p</w:t>
      </w:r>
      <w:r w:rsidR="005E0F83" w:rsidRPr="00D92926">
        <w:rPr>
          <w:rFonts w:ascii="Times New Roman" w:hAnsi="Times New Roman" w:cs="Times New Roman"/>
          <w:b/>
          <w:sz w:val="22"/>
          <w:szCs w:val="22"/>
          <w:lang w:val="es-ES"/>
        </w:rPr>
        <w:t>lano</w:t>
      </w:r>
      <w:r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externo sigue siendo positivo, pero se ha debilitado en el margen</w:t>
      </w:r>
      <w:r w:rsidR="00AE1738">
        <w:rPr>
          <w:rFonts w:ascii="Times New Roman" w:hAnsi="Times New Roman" w:cs="Times New Roman"/>
          <w:b/>
          <w:sz w:val="22"/>
          <w:szCs w:val="22"/>
          <w:lang w:val="es-ES"/>
        </w:rPr>
        <w:t>.</w:t>
      </w:r>
      <w:r w:rsidR="00FD3C72">
        <w:rPr>
          <w:rFonts w:ascii="Times New Roman" w:hAnsi="Times New Roman" w:cs="Times New Roman"/>
          <w:b/>
          <w:sz w:val="22"/>
          <w:szCs w:val="22"/>
          <w:lang w:val="es-ES"/>
        </w:rPr>
        <w:t xml:space="preserve"> </w:t>
      </w:r>
      <w:r w:rsidR="00AE1738">
        <w:rPr>
          <w:rFonts w:ascii="Times New Roman" w:hAnsi="Times New Roman" w:cs="Times New Roman"/>
          <w:b/>
          <w:sz w:val="22"/>
          <w:szCs w:val="22"/>
          <w:lang w:val="es-ES"/>
        </w:rPr>
        <w:t>E</w:t>
      </w:r>
      <w:r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l FMI ha </w:t>
      </w:r>
      <w:r w:rsidR="00251007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reducido </w:t>
      </w:r>
      <w:r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el crecimiento proyectado para parte importante del mundo desarrollado y emergente para </w:t>
      </w:r>
      <w:r w:rsidR="00251007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el 2018 </w:t>
      </w:r>
      <w:r w:rsidR="009E34B0" w:rsidRPr="00D92926">
        <w:rPr>
          <w:rFonts w:ascii="Times New Roman" w:hAnsi="Times New Roman" w:cs="Times New Roman"/>
          <w:b/>
          <w:sz w:val="22"/>
          <w:szCs w:val="22"/>
          <w:lang w:val="es-ES"/>
        </w:rPr>
        <w:t>y 2019</w:t>
      </w:r>
      <w:r w:rsidR="00AE1738">
        <w:rPr>
          <w:rFonts w:ascii="Times New Roman" w:hAnsi="Times New Roman" w:cs="Times New Roman"/>
          <w:b/>
          <w:sz w:val="22"/>
          <w:szCs w:val="22"/>
          <w:lang w:val="es-ES"/>
        </w:rPr>
        <w:t xml:space="preserve"> donde destaca la fortaleza económica de </w:t>
      </w:r>
      <w:r w:rsidR="00AE1738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EE.UU. </w:t>
      </w:r>
      <w:r w:rsidR="005E0F83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En este escenario persisten rie</w:t>
      </w:r>
      <w:r w:rsidR="009E34B0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s</w:t>
      </w:r>
      <w:r w:rsidR="005E0F83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gos globales, asociados a la guerra comercial entre China y EE.UU</w:t>
      </w:r>
      <w:r w:rsidR="00AE1738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.</w:t>
      </w:r>
      <w:r w:rsidR="005E0F83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 (aunque con signos de acercamiento); </w:t>
      </w:r>
      <w:r w:rsidR="00630A0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el proceso del </w:t>
      </w:r>
      <w:proofErr w:type="spellStart"/>
      <w:r w:rsidR="00630A0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Brexit</w:t>
      </w:r>
      <w:proofErr w:type="spellEnd"/>
      <w:r w:rsidR="009E34B0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; el problema </w:t>
      </w:r>
      <w:r w:rsidR="005E0F83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fiscal de Italia y problemas políticos y económicos en economías emergentes. 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Lo anterior, unido a </w:t>
      </w:r>
      <w:r w:rsidR="005E0F83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condiciones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 financieras a</w:t>
      </w:r>
      <w:r w:rsidR="009E34B0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ú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n </w:t>
      </w:r>
      <w:r w:rsidR="005E0F83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holgadas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, pero más restrictivas en el </w:t>
      </w:r>
      <w:r w:rsidR="005E0F83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margen</w:t>
      </w:r>
      <w:r w:rsid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,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 sitúan a </w:t>
      </w:r>
      <w:r w:rsidR="00630A0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estas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 economías en una situación</w:t>
      </w:r>
      <w:r w:rsidR="00630A0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 que </w:t>
      </w:r>
      <w:proofErr w:type="gramStart"/>
      <w:r w:rsidR="00630A0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continúa 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 </w:t>
      </w:r>
      <w:r w:rsidR="00630A06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>incierta</w:t>
      </w:r>
      <w:proofErr w:type="gramEnd"/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shd w:val="clear" w:color="auto" w:fill="FFFFFF"/>
          <w:lang w:val="es-ES"/>
        </w:rPr>
        <w:t xml:space="preserve">. 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En el plano </w:t>
      </w:r>
      <w:r w:rsid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nacional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, </w:t>
      </w:r>
      <w:r w:rsidR="00D92926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las perspectivas </w:t>
      </w:r>
      <w:r w:rsidR="009E34B0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son positivas, pero menos optimistas. T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ras </w:t>
      </w:r>
      <w:r w:rsidR="001034F9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crecer 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c</w:t>
      </w:r>
      <w:r w:rsidR="009E34B0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erca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 de 4</w:t>
      </w:r>
      <w:r w:rsidR="000D7531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,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8% el primer semestre, </w:t>
      </w:r>
      <w:r w:rsidR="001034F9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la economía </w:t>
      </w:r>
      <w:r w:rsid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chilena </w:t>
      </w:r>
      <w:r w:rsidR="001034F9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creció 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el tercer trimestre</w:t>
      </w:r>
      <w:r w:rsid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 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2</w:t>
      </w:r>
      <w:r w:rsidR="000D7531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,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9%</w:t>
      </w:r>
      <w:r w:rsid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>,</w:t>
      </w:r>
      <w:r w:rsidR="004333AC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 mostrando una desaceleración importante</w:t>
      </w:r>
      <w:r w:rsidR="00D31B05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. El mercado laboral continúa débil, </w:t>
      </w:r>
      <w:r w:rsidR="009E34B0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con una tasa </w:t>
      </w:r>
      <w:r w:rsidR="00D31B05" w:rsidRPr="00AD4E9B">
        <w:rPr>
          <w:rFonts w:ascii="Times New Roman" w:hAnsi="Times New Roman" w:cs="Times New Roman"/>
          <w:b/>
          <w:color w:val="000000" w:themeColor="text1"/>
          <w:sz w:val="22"/>
          <w:szCs w:val="22"/>
          <w:lang w:val="es-ES"/>
        </w:rPr>
        <w:t xml:space="preserve">de desempleo </w:t>
      </w:r>
      <w:r w:rsidR="009E34B0" w:rsidRPr="00D92926">
        <w:rPr>
          <w:rFonts w:ascii="Times New Roman" w:hAnsi="Times New Roman" w:cs="Times New Roman"/>
          <w:b/>
          <w:sz w:val="22"/>
          <w:szCs w:val="22"/>
          <w:lang w:val="es-ES"/>
        </w:rPr>
        <w:t>que se mantiene en</w:t>
      </w:r>
      <w:r w:rsidR="00D31B05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 7,1% </w:t>
      </w:r>
      <w:r w:rsidR="00D92926" w:rsidRPr="00D92926">
        <w:rPr>
          <w:rFonts w:ascii="Times New Roman" w:hAnsi="Times New Roman" w:cs="Times New Roman"/>
          <w:b/>
          <w:sz w:val="22"/>
          <w:szCs w:val="22"/>
          <w:lang w:val="es-ES"/>
        </w:rPr>
        <w:t>y con remuneraciones reales creciendo</w:t>
      </w:r>
      <w:r w:rsidR="00AE1738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en t</w:t>
      </w:r>
      <w:r w:rsidR="00D92926" w:rsidRPr="00D92926">
        <w:rPr>
          <w:rFonts w:ascii="Times New Roman" w:hAnsi="Times New Roman" w:cs="Times New Roman"/>
          <w:b/>
          <w:sz w:val="22"/>
          <w:szCs w:val="22"/>
          <w:lang w:val="es-ES"/>
        </w:rPr>
        <w:t>orno a 1%</w:t>
      </w:r>
      <w:r w:rsidR="00AE1738">
        <w:rPr>
          <w:rFonts w:ascii="Times New Roman" w:hAnsi="Times New Roman" w:cs="Times New Roman"/>
          <w:b/>
          <w:sz w:val="22"/>
          <w:szCs w:val="22"/>
          <w:lang w:val="es-ES"/>
        </w:rPr>
        <w:t xml:space="preserve"> en octubre</w:t>
      </w:r>
      <w:r w:rsidR="00D92926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. </w:t>
      </w:r>
      <w:r w:rsidR="00330A5A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La inflación </w:t>
      </w:r>
      <w:r w:rsidR="00AE1738">
        <w:rPr>
          <w:rFonts w:ascii="Times New Roman" w:hAnsi="Times New Roman" w:cs="Times New Roman"/>
          <w:b/>
          <w:sz w:val="22"/>
          <w:szCs w:val="22"/>
          <w:lang w:val="es-ES"/>
        </w:rPr>
        <w:t xml:space="preserve">en ese mismo mes </w:t>
      </w:r>
      <w:r w:rsidR="00330A5A" w:rsidRPr="00D92926">
        <w:rPr>
          <w:rFonts w:ascii="Times New Roman" w:hAnsi="Times New Roman" w:cs="Times New Roman"/>
          <w:b/>
          <w:sz w:val="22"/>
          <w:szCs w:val="22"/>
          <w:lang w:val="es-ES"/>
        </w:rPr>
        <w:t>fue 2</w:t>
      </w:r>
      <w:r w:rsidR="000D7531">
        <w:rPr>
          <w:rFonts w:ascii="Times New Roman" w:hAnsi="Times New Roman" w:cs="Times New Roman"/>
          <w:b/>
          <w:sz w:val="22"/>
          <w:szCs w:val="22"/>
          <w:lang w:val="es-ES"/>
        </w:rPr>
        <w:t>,</w:t>
      </w:r>
      <w:r w:rsidR="00330A5A" w:rsidRPr="00D92926">
        <w:rPr>
          <w:rFonts w:ascii="Times New Roman" w:hAnsi="Times New Roman" w:cs="Times New Roman"/>
          <w:b/>
          <w:sz w:val="22"/>
          <w:szCs w:val="22"/>
          <w:lang w:val="es-ES"/>
        </w:rPr>
        <w:t>9%</w:t>
      </w:r>
      <w:r w:rsidR="00AD4E9B">
        <w:rPr>
          <w:rFonts w:ascii="Times New Roman" w:hAnsi="Times New Roman" w:cs="Times New Roman"/>
          <w:b/>
          <w:sz w:val="22"/>
          <w:szCs w:val="22"/>
          <w:lang w:val="es-ES"/>
        </w:rPr>
        <w:t xml:space="preserve"> a/a</w:t>
      </w:r>
      <w:r w:rsidR="00330A5A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, pero aumentando gradualmente. Con </w:t>
      </w:r>
      <w:r w:rsidR="005E0F83" w:rsidRPr="00D92926">
        <w:rPr>
          <w:rFonts w:ascii="Times New Roman" w:hAnsi="Times New Roman" w:cs="Times New Roman"/>
          <w:b/>
          <w:sz w:val="22"/>
          <w:szCs w:val="22"/>
          <w:lang w:val="es-ES"/>
        </w:rPr>
        <w:t>todo, se espera que el proceso de cierre de brechas continúe, presionando la inflación subyacente</w:t>
      </w:r>
      <w:r w:rsidR="00D92926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, ubicando </w:t>
      </w:r>
      <w:r w:rsidR="005E0F83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la inflación en </w:t>
      </w:r>
      <w:r w:rsidR="001034F9">
        <w:rPr>
          <w:rFonts w:ascii="Times New Roman" w:hAnsi="Times New Roman" w:cs="Times New Roman"/>
          <w:b/>
          <w:sz w:val="22"/>
          <w:szCs w:val="22"/>
          <w:lang w:val="es-ES"/>
        </w:rPr>
        <w:t xml:space="preserve">torno a 3% </w:t>
      </w:r>
      <w:r w:rsidR="005E0F83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en el horizonte de planeación </w:t>
      </w:r>
      <w:r w:rsidR="001034F9">
        <w:rPr>
          <w:rFonts w:ascii="Times New Roman" w:hAnsi="Times New Roman" w:cs="Times New Roman"/>
          <w:b/>
          <w:sz w:val="22"/>
          <w:szCs w:val="22"/>
          <w:lang w:val="es-ES"/>
        </w:rPr>
        <w:t xml:space="preserve">y </w:t>
      </w:r>
      <w:r w:rsidR="005E0F83" w:rsidRPr="00D92926">
        <w:rPr>
          <w:rFonts w:ascii="Times New Roman" w:hAnsi="Times New Roman" w:cs="Times New Roman"/>
          <w:b/>
          <w:sz w:val="22"/>
          <w:szCs w:val="22"/>
          <w:lang w:val="es-ES"/>
        </w:rPr>
        <w:t xml:space="preserve">en línea con las expectativas de mercado. </w:t>
      </w:r>
      <w:r w:rsidR="005E0F83" w:rsidRPr="00D92926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En este contexto, el GPM recomienda mantener la Tasa de Política Monetaria en 2,75%, a la espera de mayores antecedentes sobre la evolución de la actividad</w:t>
      </w:r>
      <w:r w:rsidR="00D92926" w:rsidRPr="00D92926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externa, actividad local y</w:t>
      </w:r>
      <w:r w:rsidR="005E0F83" w:rsidRPr="00D92926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las variables nominales claves. </w:t>
      </w:r>
    </w:p>
    <w:bookmarkEnd w:id="0"/>
    <w:p w14:paraId="3EA03799" w14:textId="07C33371" w:rsidR="00970F51" w:rsidRPr="00B62CD0" w:rsidRDefault="00970F51" w:rsidP="005E0F83">
      <w:pPr>
        <w:jc w:val="both"/>
        <w:rPr>
          <w:sz w:val="12"/>
          <w:szCs w:val="12"/>
          <w:lang w:val="es-ES"/>
        </w:rPr>
      </w:pPr>
    </w:p>
    <w:p w14:paraId="27F6F189" w14:textId="3D825651" w:rsidR="00385F21" w:rsidRDefault="00C35589" w:rsidP="005E0F83">
      <w:pPr>
        <w:jc w:val="both"/>
        <w:rPr>
          <w:sz w:val="22"/>
          <w:szCs w:val="22"/>
          <w:lang w:val="es-ES"/>
        </w:rPr>
      </w:pPr>
      <w:r w:rsidRPr="005E0F83">
        <w:rPr>
          <w:sz w:val="22"/>
          <w:szCs w:val="22"/>
          <w:lang w:val="es-ES"/>
        </w:rPr>
        <w:t>El plano externo sigue siendo positivo, pero se ha debilitado en el margen</w:t>
      </w:r>
      <w:r w:rsidR="004F4BEB">
        <w:rPr>
          <w:sz w:val="22"/>
          <w:szCs w:val="22"/>
          <w:lang w:val="es-ES"/>
        </w:rPr>
        <w:t xml:space="preserve">, mostrando </w:t>
      </w:r>
      <w:r w:rsidR="000D7531">
        <w:rPr>
          <w:sz w:val="22"/>
          <w:szCs w:val="22"/>
          <w:lang w:val="es-ES"/>
        </w:rPr>
        <w:t>un mundo desacelerándose.</w:t>
      </w:r>
      <w:r w:rsidR="00270CB8" w:rsidRPr="005E0F83">
        <w:rPr>
          <w:sz w:val="22"/>
          <w:szCs w:val="22"/>
          <w:lang w:val="es-ES"/>
        </w:rPr>
        <w:t xml:space="preserve"> </w:t>
      </w:r>
      <w:r w:rsidR="0056642D">
        <w:rPr>
          <w:sz w:val="22"/>
          <w:szCs w:val="22"/>
          <w:lang w:val="es-ES"/>
        </w:rPr>
        <w:t>E</w:t>
      </w:r>
      <w:r w:rsidR="00126D68" w:rsidRPr="005E0F83">
        <w:rPr>
          <w:sz w:val="22"/>
          <w:szCs w:val="22"/>
          <w:lang w:val="es-ES"/>
        </w:rPr>
        <w:t>l FMI baj</w:t>
      </w:r>
      <w:r w:rsidR="00D92926">
        <w:rPr>
          <w:sz w:val="22"/>
          <w:szCs w:val="22"/>
          <w:lang w:val="es-ES"/>
        </w:rPr>
        <w:t>ó</w:t>
      </w:r>
      <w:r w:rsidR="00126D68" w:rsidRPr="005E0F83">
        <w:rPr>
          <w:sz w:val="22"/>
          <w:szCs w:val="22"/>
          <w:lang w:val="es-ES"/>
        </w:rPr>
        <w:t xml:space="preserve"> sus proyecciones de crecimiento para el mundo</w:t>
      </w:r>
      <w:r w:rsidR="00D92926">
        <w:rPr>
          <w:sz w:val="22"/>
          <w:szCs w:val="22"/>
          <w:lang w:val="es-ES"/>
        </w:rPr>
        <w:t xml:space="preserve"> </w:t>
      </w:r>
      <w:r w:rsidR="00270CB8" w:rsidRPr="005E0F83">
        <w:rPr>
          <w:sz w:val="22"/>
          <w:szCs w:val="22"/>
          <w:lang w:val="es-ES"/>
        </w:rPr>
        <w:t>a 3</w:t>
      </w:r>
      <w:r w:rsidR="000D7531">
        <w:rPr>
          <w:sz w:val="22"/>
          <w:szCs w:val="22"/>
          <w:lang w:val="es-ES"/>
        </w:rPr>
        <w:t>,</w:t>
      </w:r>
      <w:r w:rsidR="00270CB8" w:rsidRPr="005E0F83">
        <w:rPr>
          <w:sz w:val="22"/>
          <w:szCs w:val="22"/>
          <w:lang w:val="es-ES"/>
        </w:rPr>
        <w:t xml:space="preserve">7% </w:t>
      </w:r>
      <w:r w:rsidR="00D92926">
        <w:rPr>
          <w:sz w:val="22"/>
          <w:szCs w:val="22"/>
          <w:lang w:val="es-ES"/>
        </w:rPr>
        <w:t>(vs 3</w:t>
      </w:r>
      <w:r w:rsidR="000D7531">
        <w:rPr>
          <w:sz w:val="22"/>
          <w:szCs w:val="22"/>
          <w:lang w:val="es-ES"/>
        </w:rPr>
        <w:t>,</w:t>
      </w:r>
      <w:r w:rsidR="00D92926">
        <w:rPr>
          <w:sz w:val="22"/>
          <w:szCs w:val="22"/>
          <w:lang w:val="es-ES"/>
        </w:rPr>
        <w:t xml:space="preserve">9%) </w:t>
      </w:r>
      <w:r w:rsidR="00126D68" w:rsidRPr="005E0F83">
        <w:rPr>
          <w:sz w:val="22"/>
          <w:szCs w:val="22"/>
          <w:lang w:val="es-ES"/>
        </w:rPr>
        <w:t>para el 2</w:t>
      </w:r>
      <w:r w:rsidR="00270CB8" w:rsidRPr="005E0F83">
        <w:rPr>
          <w:sz w:val="22"/>
          <w:szCs w:val="22"/>
          <w:lang w:val="es-ES"/>
        </w:rPr>
        <w:t xml:space="preserve">018 </w:t>
      </w:r>
      <w:r w:rsidR="00D92926">
        <w:rPr>
          <w:sz w:val="22"/>
          <w:szCs w:val="22"/>
          <w:lang w:val="es-ES"/>
        </w:rPr>
        <w:t xml:space="preserve">y </w:t>
      </w:r>
      <w:r w:rsidR="00270CB8" w:rsidRPr="005E0F83">
        <w:rPr>
          <w:sz w:val="22"/>
          <w:szCs w:val="22"/>
          <w:lang w:val="es-ES"/>
        </w:rPr>
        <w:t>2019.</w:t>
      </w:r>
      <w:r w:rsidR="00830FF9" w:rsidRPr="005E0F83">
        <w:rPr>
          <w:sz w:val="22"/>
          <w:szCs w:val="22"/>
          <w:lang w:val="es-ES"/>
        </w:rPr>
        <w:t xml:space="preserve"> </w:t>
      </w:r>
      <w:r w:rsidR="00270CB8" w:rsidRPr="005E0F83">
        <w:rPr>
          <w:sz w:val="22"/>
          <w:szCs w:val="22"/>
          <w:lang w:val="es-ES"/>
        </w:rPr>
        <w:t xml:space="preserve">Las economías emergentes </w:t>
      </w:r>
      <w:r w:rsidR="008F0673" w:rsidRPr="005E0F83">
        <w:rPr>
          <w:sz w:val="22"/>
          <w:szCs w:val="22"/>
          <w:lang w:val="es-ES"/>
        </w:rPr>
        <w:t xml:space="preserve">muestran </w:t>
      </w:r>
      <w:r w:rsidR="00830FF9" w:rsidRPr="005E0F83">
        <w:rPr>
          <w:sz w:val="22"/>
          <w:szCs w:val="22"/>
          <w:lang w:val="es-ES"/>
        </w:rPr>
        <w:t>l</w:t>
      </w:r>
      <w:r w:rsidR="00707D76">
        <w:rPr>
          <w:sz w:val="22"/>
          <w:szCs w:val="22"/>
          <w:lang w:val="es-ES"/>
        </w:rPr>
        <w:t xml:space="preserve">os mayores ajustes y crecerían en promedio </w:t>
      </w:r>
      <w:r w:rsidR="008F0673" w:rsidRPr="005E0F83">
        <w:rPr>
          <w:sz w:val="22"/>
          <w:szCs w:val="22"/>
          <w:lang w:val="es-ES"/>
        </w:rPr>
        <w:t>4</w:t>
      </w:r>
      <w:r w:rsidR="000D7531">
        <w:rPr>
          <w:sz w:val="22"/>
          <w:szCs w:val="22"/>
          <w:lang w:val="es-ES"/>
        </w:rPr>
        <w:t>,</w:t>
      </w:r>
      <w:r w:rsidR="008F0673" w:rsidRPr="005E0F83">
        <w:rPr>
          <w:sz w:val="22"/>
          <w:szCs w:val="22"/>
          <w:lang w:val="es-ES"/>
        </w:rPr>
        <w:t xml:space="preserve">7% </w:t>
      </w:r>
      <w:r w:rsidR="00707D76">
        <w:rPr>
          <w:sz w:val="22"/>
          <w:szCs w:val="22"/>
          <w:lang w:val="es-ES"/>
        </w:rPr>
        <w:t>en</w:t>
      </w:r>
      <w:r w:rsidR="008F0673" w:rsidRPr="005E0F83">
        <w:rPr>
          <w:sz w:val="22"/>
          <w:szCs w:val="22"/>
          <w:lang w:val="es-ES"/>
        </w:rPr>
        <w:t xml:space="preserve"> ambos años. </w:t>
      </w:r>
      <w:r w:rsidR="00707D76">
        <w:rPr>
          <w:sz w:val="22"/>
          <w:szCs w:val="22"/>
          <w:lang w:val="es-ES"/>
        </w:rPr>
        <w:t xml:space="preserve">Para el 2019, </w:t>
      </w:r>
      <w:r w:rsidR="008F0673" w:rsidRPr="005E0F83">
        <w:rPr>
          <w:sz w:val="22"/>
          <w:szCs w:val="22"/>
          <w:lang w:val="es-ES"/>
        </w:rPr>
        <w:t>China muestra una</w:t>
      </w:r>
      <w:r w:rsidR="00830FF9" w:rsidRPr="005E0F83">
        <w:rPr>
          <w:sz w:val="22"/>
          <w:szCs w:val="22"/>
          <w:lang w:val="es-ES"/>
        </w:rPr>
        <w:t xml:space="preserve"> </w:t>
      </w:r>
      <w:r w:rsidR="008F0673" w:rsidRPr="005E0F83">
        <w:rPr>
          <w:sz w:val="22"/>
          <w:szCs w:val="22"/>
          <w:lang w:val="es-ES"/>
        </w:rPr>
        <w:t>reducci</w:t>
      </w:r>
      <w:r w:rsidR="00830FF9" w:rsidRPr="005E0F83">
        <w:rPr>
          <w:sz w:val="22"/>
          <w:szCs w:val="22"/>
          <w:lang w:val="es-ES"/>
        </w:rPr>
        <w:t>ón de 6</w:t>
      </w:r>
      <w:r w:rsidR="000D7531">
        <w:rPr>
          <w:sz w:val="22"/>
          <w:szCs w:val="22"/>
          <w:lang w:val="es-ES"/>
        </w:rPr>
        <w:t>,</w:t>
      </w:r>
      <w:r w:rsidR="00830FF9" w:rsidRPr="005E0F83">
        <w:rPr>
          <w:sz w:val="22"/>
          <w:szCs w:val="22"/>
          <w:lang w:val="es-ES"/>
        </w:rPr>
        <w:t>4% a 6</w:t>
      </w:r>
      <w:r w:rsidR="000D7531">
        <w:rPr>
          <w:sz w:val="22"/>
          <w:szCs w:val="22"/>
          <w:lang w:val="es-ES"/>
        </w:rPr>
        <w:t>,</w:t>
      </w:r>
      <w:r w:rsidR="00830FF9" w:rsidRPr="005E0F83">
        <w:rPr>
          <w:sz w:val="22"/>
          <w:szCs w:val="22"/>
          <w:lang w:val="es-ES"/>
        </w:rPr>
        <w:t xml:space="preserve">2% </w:t>
      </w:r>
      <w:r w:rsidR="005E0F83" w:rsidRPr="005E0F83">
        <w:rPr>
          <w:sz w:val="22"/>
          <w:szCs w:val="22"/>
          <w:lang w:val="es-ES"/>
        </w:rPr>
        <w:t>y</w:t>
      </w:r>
      <w:r w:rsidR="008F0673" w:rsidRPr="005E0F83">
        <w:rPr>
          <w:sz w:val="22"/>
          <w:szCs w:val="22"/>
          <w:lang w:val="es-ES"/>
        </w:rPr>
        <w:t xml:space="preserve"> </w:t>
      </w:r>
      <w:r w:rsidR="005E0F83" w:rsidRPr="005E0F83">
        <w:rPr>
          <w:sz w:val="22"/>
          <w:szCs w:val="22"/>
          <w:lang w:val="es-ES"/>
        </w:rPr>
        <w:t>América</w:t>
      </w:r>
      <w:r w:rsidR="008F0673" w:rsidRPr="005E0F83">
        <w:rPr>
          <w:sz w:val="22"/>
          <w:szCs w:val="22"/>
          <w:lang w:val="es-ES"/>
        </w:rPr>
        <w:t xml:space="preserve"> Latina una </w:t>
      </w:r>
      <w:r w:rsidR="005E0F83" w:rsidRPr="005E0F83">
        <w:rPr>
          <w:sz w:val="22"/>
          <w:szCs w:val="22"/>
          <w:lang w:val="es-ES"/>
        </w:rPr>
        <w:t>caída</w:t>
      </w:r>
      <w:r w:rsidR="008F0673" w:rsidRPr="005E0F83">
        <w:rPr>
          <w:sz w:val="22"/>
          <w:szCs w:val="22"/>
          <w:lang w:val="es-ES"/>
        </w:rPr>
        <w:t xml:space="preserve"> de</w:t>
      </w:r>
      <w:r w:rsidR="00830FF9" w:rsidRPr="005E0F83">
        <w:rPr>
          <w:sz w:val="22"/>
          <w:szCs w:val="22"/>
          <w:lang w:val="es-ES"/>
        </w:rPr>
        <w:t>s</w:t>
      </w:r>
      <w:r w:rsidR="000D7531">
        <w:rPr>
          <w:sz w:val="22"/>
          <w:szCs w:val="22"/>
          <w:lang w:val="es-ES"/>
        </w:rPr>
        <w:t>de</w:t>
      </w:r>
      <w:r w:rsidR="00830FF9" w:rsidRPr="005E0F83">
        <w:rPr>
          <w:sz w:val="22"/>
          <w:szCs w:val="22"/>
          <w:lang w:val="es-ES"/>
        </w:rPr>
        <w:t xml:space="preserve"> </w:t>
      </w:r>
      <w:r w:rsidR="00737717">
        <w:rPr>
          <w:sz w:val="22"/>
          <w:szCs w:val="22"/>
          <w:lang w:val="es-ES"/>
        </w:rPr>
        <w:t>2</w:t>
      </w:r>
      <w:r w:rsidR="000D7531">
        <w:rPr>
          <w:sz w:val="22"/>
          <w:szCs w:val="22"/>
          <w:lang w:val="es-ES"/>
        </w:rPr>
        <w:t>,</w:t>
      </w:r>
      <w:r w:rsidR="00830FF9" w:rsidRPr="005E0F83">
        <w:rPr>
          <w:sz w:val="22"/>
          <w:szCs w:val="22"/>
          <w:lang w:val="es-ES"/>
        </w:rPr>
        <w:t xml:space="preserve">6% a </w:t>
      </w:r>
      <w:r w:rsidR="00737717">
        <w:rPr>
          <w:sz w:val="22"/>
          <w:szCs w:val="22"/>
          <w:lang w:val="es-ES"/>
        </w:rPr>
        <w:t>2,2</w:t>
      </w:r>
      <w:r w:rsidR="00830FF9" w:rsidRPr="005E0F83">
        <w:rPr>
          <w:sz w:val="22"/>
          <w:szCs w:val="22"/>
          <w:lang w:val="es-ES"/>
        </w:rPr>
        <w:t xml:space="preserve">%. </w:t>
      </w:r>
      <w:r w:rsidR="0056642D">
        <w:rPr>
          <w:sz w:val="22"/>
          <w:szCs w:val="22"/>
          <w:lang w:val="es-ES"/>
        </w:rPr>
        <w:t xml:space="preserve">Europa y Japón también muestran menores tasas de crecimiento. </w:t>
      </w:r>
      <w:r w:rsidR="00381DD4" w:rsidRPr="005E0F83">
        <w:rPr>
          <w:sz w:val="22"/>
          <w:szCs w:val="22"/>
          <w:lang w:val="es-ES"/>
        </w:rPr>
        <w:t xml:space="preserve">En </w:t>
      </w:r>
      <w:r w:rsidR="00270CB8" w:rsidRPr="005E0F83">
        <w:rPr>
          <w:sz w:val="22"/>
          <w:szCs w:val="22"/>
          <w:lang w:val="es-ES"/>
        </w:rPr>
        <w:t>este escenario</w:t>
      </w:r>
      <w:r w:rsidR="00707D76">
        <w:rPr>
          <w:sz w:val="22"/>
          <w:szCs w:val="22"/>
          <w:lang w:val="es-ES"/>
        </w:rPr>
        <w:t>,</w:t>
      </w:r>
      <w:r w:rsidR="00270CB8" w:rsidRPr="005E0F83">
        <w:rPr>
          <w:sz w:val="22"/>
          <w:szCs w:val="22"/>
          <w:lang w:val="es-ES"/>
        </w:rPr>
        <w:t xml:space="preserve"> destaca </w:t>
      </w:r>
      <w:r w:rsidR="004F4BEB">
        <w:rPr>
          <w:sz w:val="22"/>
          <w:szCs w:val="22"/>
          <w:lang w:val="es-ES"/>
        </w:rPr>
        <w:t>EE.UU.</w:t>
      </w:r>
      <w:r w:rsidR="005E0F83" w:rsidRPr="005E0F83">
        <w:rPr>
          <w:sz w:val="22"/>
          <w:szCs w:val="22"/>
          <w:lang w:val="es-ES"/>
        </w:rPr>
        <w:t xml:space="preserve"> que</w:t>
      </w:r>
      <w:r w:rsidR="00270CB8" w:rsidRPr="005E0F83">
        <w:rPr>
          <w:sz w:val="22"/>
          <w:szCs w:val="22"/>
          <w:lang w:val="es-ES"/>
        </w:rPr>
        <w:t xml:space="preserve"> </w:t>
      </w:r>
      <w:r w:rsidR="00707D76">
        <w:rPr>
          <w:sz w:val="22"/>
          <w:szCs w:val="22"/>
          <w:lang w:val="es-ES"/>
        </w:rPr>
        <w:t xml:space="preserve">mantiene un alto crecimiento. </w:t>
      </w:r>
      <w:r w:rsidR="00803BD5" w:rsidRPr="005E0F83">
        <w:rPr>
          <w:sz w:val="22"/>
          <w:szCs w:val="22"/>
          <w:lang w:val="es-ES"/>
        </w:rPr>
        <w:t xml:space="preserve">Durante </w:t>
      </w:r>
      <w:r w:rsidR="00381DD4" w:rsidRPr="005E0F83">
        <w:rPr>
          <w:sz w:val="22"/>
          <w:szCs w:val="22"/>
          <w:lang w:val="es-ES"/>
        </w:rPr>
        <w:t>el tercer trimestre</w:t>
      </w:r>
      <w:r w:rsidR="000D7531">
        <w:rPr>
          <w:sz w:val="22"/>
          <w:szCs w:val="22"/>
          <w:lang w:val="es-ES"/>
        </w:rPr>
        <w:t xml:space="preserve"> </w:t>
      </w:r>
      <w:r w:rsidR="00707D76">
        <w:rPr>
          <w:sz w:val="22"/>
          <w:szCs w:val="22"/>
          <w:lang w:val="es-ES"/>
        </w:rPr>
        <w:t xml:space="preserve">creció </w:t>
      </w:r>
      <w:r w:rsidR="00381DD4" w:rsidRPr="005E0F83">
        <w:rPr>
          <w:sz w:val="22"/>
          <w:szCs w:val="22"/>
          <w:lang w:val="es-ES"/>
        </w:rPr>
        <w:t>3</w:t>
      </w:r>
      <w:r w:rsidR="000D7531">
        <w:rPr>
          <w:sz w:val="22"/>
          <w:szCs w:val="22"/>
          <w:lang w:val="es-ES"/>
        </w:rPr>
        <w:t>,</w:t>
      </w:r>
      <w:r w:rsidR="00381DD4" w:rsidRPr="005E0F83">
        <w:rPr>
          <w:sz w:val="22"/>
          <w:szCs w:val="22"/>
          <w:lang w:val="es-ES"/>
        </w:rPr>
        <w:t>5%</w:t>
      </w:r>
      <w:r w:rsidR="00707D76">
        <w:rPr>
          <w:sz w:val="22"/>
          <w:szCs w:val="22"/>
          <w:lang w:val="es-ES"/>
        </w:rPr>
        <w:t xml:space="preserve"> (por sobre lo esperado), </w:t>
      </w:r>
      <w:r w:rsidR="008F0673" w:rsidRPr="005E0F83">
        <w:rPr>
          <w:sz w:val="22"/>
          <w:szCs w:val="22"/>
          <w:lang w:val="es-ES"/>
        </w:rPr>
        <w:t>y se e</w:t>
      </w:r>
      <w:r w:rsidR="00005EA0">
        <w:rPr>
          <w:sz w:val="22"/>
          <w:szCs w:val="22"/>
          <w:lang w:val="es-ES"/>
        </w:rPr>
        <w:t>stima</w:t>
      </w:r>
      <w:r w:rsidR="008F0673" w:rsidRPr="005E0F83">
        <w:rPr>
          <w:sz w:val="22"/>
          <w:szCs w:val="22"/>
          <w:lang w:val="es-ES"/>
        </w:rPr>
        <w:t xml:space="preserve"> que </w:t>
      </w:r>
      <w:r w:rsidR="00707D76">
        <w:rPr>
          <w:sz w:val="22"/>
          <w:szCs w:val="22"/>
          <w:lang w:val="es-ES"/>
        </w:rPr>
        <w:t xml:space="preserve">finalice </w:t>
      </w:r>
      <w:r w:rsidR="000D7531">
        <w:rPr>
          <w:sz w:val="22"/>
          <w:szCs w:val="22"/>
          <w:lang w:val="es-ES"/>
        </w:rPr>
        <w:t xml:space="preserve">el año </w:t>
      </w:r>
      <w:r w:rsidR="00707D76">
        <w:rPr>
          <w:sz w:val="22"/>
          <w:szCs w:val="22"/>
          <w:lang w:val="es-ES"/>
        </w:rPr>
        <w:t>creciendo cerca</w:t>
      </w:r>
      <w:r w:rsidR="008F0673" w:rsidRPr="005E0F83">
        <w:rPr>
          <w:sz w:val="22"/>
          <w:szCs w:val="22"/>
          <w:lang w:val="es-ES"/>
        </w:rPr>
        <w:t xml:space="preserve"> </w:t>
      </w:r>
      <w:r w:rsidR="000D7531">
        <w:rPr>
          <w:sz w:val="22"/>
          <w:szCs w:val="22"/>
          <w:lang w:val="es-ES"/>
        </w:rPr>
        <w:t xml:space="preserve">de </w:t>
      </w:r>
      <w:r w:rsidR="008F0673" w:rsidRPr="005E0F83">
        <w:rPr>
          <w:sz w:val="22"/>
          <w:szCs w:val="22"/>
          <w:lang w:val="es-ES"/>
        </w:rPr>
        <w:t>3%</w:t>
      </w:r>
      <w:r w:rsidR="000D7531">
        <w:rPr>
          <w:sz w:val="22"/>
          <w:szCs w:val="22"/>
          <w:lang w:val="es-ES"/>
        </w:rPr>
        <w:t xml:space="preserve">. El 2019 crecería cerca de 2,5%, </w:t>
      </w:r>
      <w:r w:rsidR="00707D76">
        <w:rPr>
          <w:sz w:val="22"/>
          <w:szCs w:val="22"/>
          <w:lang w:val="es-ES"/>
        </w:rPr>
        <w:t xml:space="preserve">más cercano a su </w:t>
      </w:r>
      <w:r w:rsidR="008F0673" w:rsidRPr="005E0F83">
        <w:rPr>
          <w:sz w:val="22"/>
          <w:szCs w:val="22"/>
          <w:lang w:val="es-ES"/>
        </w:rPr>
        <w:t>crecimiento potencial</w:t>
      </w:r>
      <w:r w:rsidR="0056642D">
        <w:rPr>
          <w:sz w:val="22"/>
          <w:szCs w:val="22"/>
          <w:lang w:val="es-ES"/>
        </w:rPr>
        <w:t>.</w:t>
      </w:r>
      <w:r w:rsidR="000D7531">
        <w:rPr>
          <w:sz w:val="22"/>
          <w:szCs w:val="22"/>
          <w:lang w:val="es-ES"/>
        </w:rPr>
        <w:t xml:space="preserve"> </w:t>
      </w:r>
      <w:r w:rsidR="005E0F83" w:rsidRPr="005E0F83">
        <w:rPr>
          <w:sz w:val="22"/>
          <w:szCs w:val="22"/>
          <w:lang w:val="es-ES"/>
        </w:rPr>
        <w:t>Entre lo</w:t>
      </w:r>
      <w:r w:rsidR="00707D76">
        <w:rPr>
          <w:sz w:val="22"/>
          <w:szCs w:val="22"/>
          <w:lang w:val="es-ES"/>
        </w:rPr>
        <w:t>s</w:t>
      </w:r>
      <w:r w:rsidR="005E0F83" w:rsidRPr="005E0F83">
        <w:rPr>
          <w:sz w:val="22"/>
          <w:szCs w:val="22"/>
          <w:lang w:val="es-ES"/>
        </w:rPr>
        <w:t xml:space="preserve"> factores de rie</w:t>
      </w:r>
      <w:r w:rsidR="005E0F83">
        <w:rPr>
          <w:sz w:val="22"/>
          <w:szCs w:val="22"/>
          <w:lang w:val="es-ES"/>
        </w:rPr>
        <w:t>s</w:t>
      </w:r>
      <w:r w:rsidR="005E0F83" w:rsidRPr="005E0F83">
        <w:rPr>
          <w:sz w:val="22"/>
          <w:szCs w:val="22"/>
          <w:lang w:val="es-ES"/>
        </w:rPr>
        <w:t>go</w:t>
      </w:r>
      <w:r w:rsidR="00707D76">
        <w:rPr>
          <w:sz w:val="22"/>
          <w:szCs w:val="22"/>
          <w:lang w:val="es-ES"/>
        </w:rPr>
        <w:t xml:space="preserve">, </w:t>
      </w:r>
      <w:r w:rsidR="005E0F83" w:rsidRPr="005E0F83">
        <w:rPr>
          <w:sz w:val="22"/>
          <w:szCs w:val="22"/>
          <w:lang w:val="es-ES"/>
        </w:rPr>
        <w:t>Rei</w:t>
      </w:r>
      <w:r w:rsidR="005E0F83">
        <w:rPr>
          <w:sz w:val="22"/>
          <w:szCs w:val="22"/>
          <w:lang w:val="es-ES"/>
        </w:rPr>
        <w:t>no</w:t>
      </w:r>
      <w:r w:rsidR="005E0F83" w:rsidRPr="005E0F83">
        <w:rPr>
          <w:sz w:val="22"/>
          <w:szCs w:val="22"/>
          <w:lang w:val="es-ES"/>
        </w:rPr>
        <w:t xml:space="preserve"> Unido ha logrado que la </w:t>
      </w:r>
      <w:r w:rsidR="005E0F83" w:rsidRPr="005E0F83">
        <w:rPr>
          <w:color w:val="000000"/>
          <w:sz w:val="22"/>
          <w:szCs w:val="22"/>
          <w:shd w:val="clear" w:color="auto" w:fill="FFFFFF"/>
          <w:lang w:val="es-ES"/>
        </w:rPr>
        <w:t xml:space="preserve">Unión Europea apruebe el acuerdo de salida del bloque, sin embargo, </w:t>
      </w:r>
      <w:r w:rsidR="0056642D">
        <w:rPr>
          <w:color w:val="000000"/>
          <w:sz w:val="22"/>
          <w:szCs w:val="22"/>
          <w:shd w:val="clear" w:color="auto" w:fill="FFFFFF"/>
          <w:lang w:val="es-ES"/>
        </w:rPr>
        <w:t>el</w:t>
      </w:r>
      <w:r w:rsidR="005E0F83" w:rsidRPr="005E0F83">
        <w:rPr>
          <w:color w:val="000000"/>
          <w:sz w:val="22"/>
          <w:szCs w:val="22"/>
          <w:shd w:val="clear" w:color="auto" w:fill="FFFFFF"/>
          <w:lang w:val="es-ES"/>
        </w:rPr>
        <w:t xml:space="preserve"> gobierno ha quedado muy debilitad</w:t>
      </w:r>
      <w:r w:rsidR="0056642D">
        <w:rPr>
          <w:color w:val="000000"/>
          <w:sz w:val="22"/>
          <w:szCs w:val="22"/>
          <w:shd w:val="clear" w:color="auto" w:fill="FFFFFF"/>
          <w:lang w:val="es-ES"/>
        </w:rPr>
        <w:t>o</w:t>
      </w:r>
      <w:r w:rsidR="00FB5D60">
        <w:rPr>
          <w:color w:val="000000"/>
          <w:sz w:val="22"/>
          <w:szCs w:val="22"/>
          <w:shd w:val="clear" w:color="auto" w:fill="FFFFFF"/>
          <w:lang w:val="es-ES"/>
        </w:rPr>
        <w:t xml:space="preserve">, faltando </w:t>
      </w:r>
      <w:r w:rsidR="00D86641">
        <w:rPr>
          <w:color w:val="000000"/>
          <w:sz w:val="22"/>
          <w:szCs w:val="22"/>
          <w:shd w:val="clear" w:color="auto" w:fill="FFFFFF"/>
          <w:lang w:val="es-ES"/>
        </w:rPr>
        <w:t>aún la</w:t>
      </w:r>
      <w:r w:rsidR="00FB5D60">
        <w:rPr>
          <w:color w:val="000000"/>
          <w:sz w:val="22"/>
          <w:szCs w:val="22"/>
          <w:shd w:val="clear" w:color="auto" w:fill="FFFFFF"/>
          <w:lang w:val="es-ES"/>
        </w:rPr>
        <w:t xml:space="preserve"> aprobación interna</w:t>
      </w:r>
      <w:r w:rsidR="005E0F83" w:rsidRPr="005E0F83">
        <w:rPr>
          <w:color w:val="000000"/>
          <w:sz w:val="22"/>
          <w:szCs w:val="22"/>
          <w:shd w:val="clear" w:color="auto" w:fill="FFFFFF"/>
          <w:lang w:val="es-ES"/>
        </w:rPr>
        <w:t xml:space="preserve">. </w:t>
      </w:r>
      <w:r w:rsidR="000E6E6B" w:rsidRPr="005E0F83">
        <w:rPr>
          <w:sz w:val="22"/>
          <w:szCs w:val="22"/>
          <w:lang w:val="es-ES"/>
        </w:rPr>
        <w:t xml:space="preserve">Italia </w:t>
      </w:r>
      <w:r w:rsidR="0056642D">
        <w:rPr>
          <w:sz w:val="22"/>
          <w:szCs w:val="22"/>
          <w:lang w:val="es-ES"/>
        </w:rPr>
        <w:t>persiste en</w:t>
      </w:r>
      <w:r w:rsidR="000E6E6B" w:rsidRPr="005E0F83">
        <w:rPr>
          <w:sz w:val="22"/>
          <w:szCs w:val="22"/>
          <w:lang w:val="es-ES"/>
        </w:rPr>
        <w:t xml:space="preserve"> un </w:t>
      </w:r>
      <w:r w:rsidR="005E0F83" w:rsidRPr="005E0F83">
        <w:rPr>
          <w:sz w:val="22"/>
          <w:szCs w:val="22"/>
          <w:lang w:val="es-ES"/>
        </w:rPr>
        <w:t>presupuesto fiscal</w:t>
      </w:r>
      <w:r w:rsidR="000E6E6B" w:rsidRPr="005E0F83">
        <w:rPr>
          <w:sz w:val="22"/>
          <w:szCs w:val="22"/>
          <w:lang w:val="es-ES"/>
        </w:rPr>
        <w:t xml:space="preserve"> que no cumple con </w:t>
      </w:r>
      <w:r w:rsidR="00707D76">
        <w:rPr>
          <w:sz w:val="22"/>
          <w:szCs w:val="22"/>
          <w:lang w:val="es-ES"/>
        </w:rPr>
        <w:t xml:space="preserve">las reglas del bloque, tensionando las relaciones con el mismo. </w:t>
      </w:r>
      <w:r w:rsidR="005E0F83" w:rsidRPr="005E0F83">
        <w:rPr>
          <w:sz w:val="22"/>
          <w:szCs w:val="22"/>
          <w:lang w:val="es-ES"/>
        </w:rPr>
        <w:t>La guerra comercial entre China y EE</w:t>
      </w:r>
      <w:r w:rsidR="00707D76">
        <w:rPr>
          <w:sz w:val="22"/>
          <w:szCs w:val="22"/>
          <w:lang w:val="es-ES"/>
        </w:rPr>
        <w:t>.</w:t>
      </w:r>
      <w:r w:rsidR="005E0F83" w:rsidRPr="005E0F83">
        <w:rPr>
          <w:sz w:val="22"/>
          <w:szCs w:val="22"/>
          <w:lang w:val="es-ES"/>
        </w:rPr>
        <w:t>UU</w:t>
      </w:r>
      <w:r w:rsidR="00707D76">
        <w:rPr>
          <w:sz w:val="22"/>
          <w:szCs w:val="22"/>
          <w:lang w:val="es-ES"/>
        </w:rPr>
        <w:t xml:space="preserve">. </w:t>
      </w:r>
      <w:r w:rsidR="007D0D39">
        <w:rPr>
          <w:sz w:val="22"/>
          <w:szCs w:val="22"/>
          <w:lang w:val="es-ES"/>
        </w:rPr>
        <w:t xml:space="preserve">sigue </w:t>
      </w:r>
      <w:r w:rsidR="0056642D">
        <w:rPr>
          <w:sz w:val="22"/>
          <w:szCs w:val="22"/>
          <w:lang w:val="es-ES"/>
        </w:rPr>
        <w:t>latente</w:t>
      </w:r>
      <w:r w:rsidR="007D0D39">
        <w:rPr>
          <w:sz w:val="22"/>
          <w:szCs w:val="22"/>
          <w:lang w:val="es-ES"/>
        </w:rPr>
        <w:t xml:space="preserve">, </w:t>
      </w:r>
      <w:r w:rsidR="005E0F83" w:rsidRPr="005E0F83">
        <w:rPr>
          <w:sz w:val="22"/>
          <w:szCs w:val="22"/>
          <w:lang w:val="es-ES"/>
        </w:rPr>
        <w:t xml:space="preserve">si bien </w:t>
      </w:r>
      <w:r w:rsidR="00B62CD0">
        <w:rPr>
          <w:sz w:val="22"/>
          <w:szCs w:val="22"/>
          <w:lang w:val="es-ES"/>
        </w:rPr>
        <w:t xml:space="preserve">en la última reunión del G-20 acordaron posponer la imposición de nuevos aranceles en el corto plazo. </w:t>
      </w:r>
      <w:r w:rsidR="00117491">
        <w:rPr>
          <w:sz w:val="22"/>
          <w:szCs w:val="22"/>
          <w:lang w:val="es-ES"/>
        </w:rPr>
        <w:t>El precio del cobre sigue exhibiendo volatilidad y</w:t>
      </w:r>
      <w:r w:rsidR="005E0F83" w:rsidRPr="005E0F83">
        <w:rPr>
          <w:sz w:val="22"/>
          <w:szCs w:val="22"/>
          <w:lang w:val="es-ES"/>
        </w:rPr>
        <w:t xml:space="preserve"> </w:t>
      </w:r>
      <w:r w:rsidR="00117491">
        <w:rPr>
          <w:sz w:val="22"/>
          <w:szCs w:val="22"/>
          <w:lang w:val="es-ES"/>
        </w:rPr>
        <w:t xml:space="preserve">se ha acercado desde los </w:t>
      </w:r>
      <w:r w:rsidR="005E0F83" w:rsidRPr="005E0F83">
        <w:rPr>
          <w:sz w:val="22"/>
          <w:szCs w:val="22"/>
          <w:lang w:val="es-ES"/>
        </w:rPr>
        <w:t>2</w:t>
      </w:r>
      <w:r w:rsidR="00117491">
        <w:rPr>
          <w:sz w:val="22"/>
          <w:szCs w:val="22"/>
          <w:lang w:val="es-ES"/>
        </w:rPr>
        <w:t>,</w:t>
      </w:r>
      <w:r w:rsidR="005E0F83" w:rsidRPr="005E0F83">
        <w:rPr>
          <w:sz w:val="22"/>
          <w:szCs w:val="22"/>
          <w:lang w:val="es-ES"/>
        </w:rPr>
        <w:t>6</w:t>
      </w:r>
      <w:r w:rsidR="00117491">
        <w:rPr>
          <w:sz w:val="22"/>
          <w:szCs w:val="22"/>
          <w:lang w:val="es-ES"/>
        </w:rPr>
        <w:t>US</w:t>
      </w:r>
      <w:r w:rsidR="000F12C9">
        <w:rPr>
          <w:sz w:val="22"/>
          <w:szCs w:val="22"/>
          <w:lang w:val="es-ES"/>
        </w:rPr>
        <w:t>$</w:t>
      </w:r>
      <w:r w:rsidR="005E0F83" w:rsidRPr="005E0F83">
        <w:rPr>
          <w:sz w:val="22"/>
          <w:szCs w:val="22"/>
          <w:lang w:val="es-ES"/>
        </w:rPr>
        <w:t>/l</w:t>
      </w:r>
      <w:r w:rsidR="00117491">
        <w:rPr>
          <w:sz w:val="22"/>
          <w:szCs w:val="22"/>
          <w:lang w:val="es-ES"/>
        </w:rPr>
        <w:t>b</w:t>
      </w:r>
      <w:r w:rsidR="005E0F83" w:rsidRPr="005E0F83">
        <w:rPr>
          <w:sz w:val="22"/>
          <w:szCs w:val="22"/>
          <w:lang w:val="es-ES"/>
        </w:rPr>
        <w:t xml:space="preserve"> que se transaba hace algunas </w:t>
      </w:r>
      <w:r w:rsidR="004F4BEB">
        <w:rPr>
          <w:sz w:val="22"/>
          <w:szCs w:val="22"/>
          <w:lang w:val="es-ES"/>
        </w:rPr>
        <w:t xml:space="preserve">semanas </w:t>
      </w:r>
      <w:r w:rsidR="000F12C9">
        <w:rPr>
          <w:sz w:val="22"/>
          <w:szCs w:val="22"/>
          <w:lang w:val="es-ES"/>
        </w:rPr>
        <w:t xml:space="preserve">a </w:t>
      </w:r>
      <w:r w:rsidR="005E0F83" w:rsidRPr="005E0F83">
        <w:rPr>
          <w:sz w:val="22"/>
          <w:szCs w:val="22"/>
          <w:lang w:val="es-ES"/>
        </w:rPr>
        <w:t>2</w:t>
      </w:r>
      <w:r w:rsidR="000F12C9">
        <w:rPr>
          <w:sz w:val="22"/>
          <w:szCs w:val="22"/>
          <w:lang w:val="es-ES"/>
        </w:rPr>
        <w:t>,</w:t>
      </w:r>
      <w:r w:rsidR="005E0F83" w:rsidRPr="005E0F83">
        <w:rPr>
          <w:sz w:val="22"/>
          <w:szCs w:val="22"/>
          <w:lang w:val="es-ES"/>
        </w:rPr>
        <w:t>8</w:t>
      </w:r>
      <w:r w:rsidR="000F12C9">
        <w:rPr>
          <w:sz w:val="22"/>
          <w:szCs w:val="22"/>
          <w:lang w:val="es-ES"/>
        </w:rPr>
        <w:t xml:space="preserve"> US$</w:t>
      </w:r>
      <w:r w:rsidR="005E0F83" w:rsidRPr="005E0F83">
        <w:rPr>
          <w:sz w:val="22"/>
          <w:szCs w:val="22"/>
          <w:lang w:val="es-ES"/>
        </w:rPr>
        <w:t>/l</w:t>
      </w:r>
      <w:r w:rsidR="000F12C9">
        <w:rPr>
          <w:sz w:val="22"/>
          <w:szCs w:val="22"/>
          <w:lang w:val="es-ES"/>
        </w:rPr>
        <w:t>b.</w:t>
      </w:r>
      <w:r w:rsidR="005E0F83" w:rsidRPr="005E0F83">
        <w:rPr>
          <w:sz w:val="22"/>
          <w:szCs w:val="22"/>
          <w:lang w:val="es-ES"/>
        </w:rPr>
        <w:t xml:space="preserve"> </w:t>
      </w:r>
      <w:r w:rsidR="002C2C1B">
        <w:rPr>
          <w:sz w:val="22"/>
          <w:szCs w:val="22"/>
          <w:lang w:val="es-ES"/>
        </w:rPr>
        <w:t>El</w:t>
      </w:r>
      <w:r w:rsidR="00385F21" w:rsidRPr="005E0F83">
        <w:rPr>
          <w:sz w:val="22"/>
          <w:szCs w:val="22"/>
          <w:lang w:val="es-ES"/>
        </w:rPr>
        <w:t xml:space="preserve"> precio del </w:t>
      </w:r>
      <w:r w:rsidR="005E0F83" w:rsidRPr="005E0F83">
        <w:rPr>
          <w:sz w:val="22"/>
          <w:szCs w:val="22"/>
          <w:lang w:val="es-ES"/>
        </w:rPr>
        <w:t>petróleo</w:t>
      </w:r>
      <w:r w:rsidR="00385F21" w:rsidRPr="005E0F83">
        <w:rPr>
          <w:sz w:val="22"/>
          <w:szCs w:val="22"/>
          <w:lang w:val="es-ES"/>
        </w:rPr>
        <w:t xml:space="preserve"> ha caíd</w:t>
      </w:r>
      <w:r w:rsidR="000F12C9">
        <w:rPr>
          <w:sz w:val="22"/>
          <w:szCs w:val="22"/>
          <w:lang w:val="es-ES"/>
        </w:rPr>
        <w:t>o</w:t>
      </w:r>
      <w:r w:rsidR="00385F21" w:rsidRPr="005E0F83">
        <w:rPr>
          <w:sz w:val="22"/>
          <w:szCs w:val="22"/>
          <w:lang w:val="es-ES"/>
        </w:rPr>
        <w:t xml:space="preserve"> </w:t>
      </w:r>
      <w:r w:rsidR="005E0F83" w:rsidRPr="005E0F83">
        <w:rPr>
          <w:sz w:val="22"/>
          <w:szCs w:val="22"/>
          <w:lang w:val="es-ES"/>
        </w:rPr>
        <w:t>fuertemente</w:t>
      </w:r>
      <w:r w:rsidR="00385F21" w:rsidRPr="005E0F83">
        <w:rPr>
          <w:sz w:val="22"/>
          <w:szCs w:val="22"/>
          <w:lang w:val="es-ES"/>
        </w:rPr>
        <w:t xml:space="preserve"> en los últimos meses</w:t>
      </w:r>
      <w:r w:rsidR="00376C06" w:rsidRPr="005E0F83">
        <w:rPr>
          <w:sz w:val="22"/>
          <w:szCs w:val="22"/>
          <w:lang w:val="es-ES"/>
        </w:rPr>
        <w:t xml:space="preserve"> </w:t>
      </w:r>
      <w:r w:rsidR="005E0F83" w:rsidRPr="005E0F83">
        <w:rPr>
          <w:sz w:val="22"/>
          <w:szCs w:val="22"/>
          <w:lang w:val="es-ES"/>
        </w:rPr>
        <w:t>transándose actualmente</w:t>
      </w:r>
      <w:r w:rsidR="00385F21" w:rsidRPr="005E0F83">
        <w:rPr>
          <w:sz w:val="22"/>
          <w:szCs w:val="22"/>
          <w:lang w:val="es-ES"/>
        </w:rPr>
        <w:t xml:space="preserve"> en torno a los US$5</w:t>
      </w:r>
      <w:r w:rsidR="00005EA0">
        <w:rPr>
          <w:sz w:val="22"/>
          <w:szCs w:val="22"/>
          <w:lang w:val="es-ES"/>
        </w:rPr>
        <w:t>3</w:t>
      </w:r>
      <w:r w:rsidR="00385F21" w:rsidRPr="005E0F83">
        <w:rPr>
          <w:sz w:val="22"/>
          <w:szCs w:val="22"/>
          <w:lang w:val="es-ES"/>
        </w:rPr>
        <w:t>/barril</w:t>
      </w:r>
      <w:r w:rsidR="000F12C9">
        <w:rPr>
          <w:sz w:val="22"/>
          <w:szCs w:val="22"/>
          <w:lang w:val="es-ES"/>
        </w:rPr>
        <w:t xml:space="preserve"> (WTI</w:t>
      </w:r>
      <w:r w:rsidR="00005EA0">
        <w:rPr>
          <w:sz w:val="22"/>
          <w:szCs w:val="22"/>
          <w:lang w:val="es-ES"/>
        </w:rPr>
        <w:t>).</w:t>
      </w:r>
    </w:p>
    <w:p w14:paraId="290E39E7" w14:textId="77777777" w:rsidR="001B685D" w:rsidRPr="005E0F83" w:rsidRDefault="001B685D" w:rsidP="005E0F83">
      <w:pPr>
        <w:jc w:val="both"/>
        <w:rPr>
          <w:sz w:val="22"/>
          <w:szCs w:val="22"/>
          <w:lang w:val="es-ES"/>
        </w:rPr>
      </w:pPr>
    </w:p>
    <w:p w14:paraId="1B980499" w14:textId="77777777" w:rsidR="0001042E" w:rsidRDefault="005E0F83" w:rsidP="005E0F83">
      <w:pPr>
        <w:jc w:val="both"/>
        <w:rPr>
          <w:sz w:val="22"/>
          <w:szCs w:val="22"/>
          <w:lang w:val="es-ES"/>
        </w:rPr>
      </w:pPr>
      <w:r w:rsidRPr="005E0F83">
        <w:rPr>
          <w:sz w:val="22"/>
          <w:szCs w:val="22"/>
          <w:lang w:val="es-ES"/>
        </w:rPr>
        <w:t xml:space="preserve">Por otra parte, las condiciones financieras externas </w:t>
      </w:r>
      <w:r w:rsidR="00005EA0">
        <w:rPr>
          <w:sz w:val="22"/>
          <w:szCs w:val="22"/>
          <w:lang w:val="es-ES"/>
        </w:rPr>
        <w:t>continúan inciertas</w:t>
      </w:r>
      <w:r w:rsidRPr="005E0F83">
        <w:rPr>
          <w:sz w:val="22"/>
          <w:szCs w:val="22"/>
          <w:lang w:val="es-ES"/>
        </w:rPr>
        <w:t xml:space="preserve">. </w:t>
      </w:r>
      <w:r w:rsidR="00E62B25">
        <w:rPr>
          <w:sz w:val="22"/>
          <w:szCs w:val="22"/>
          <w:lang w:val="es-ES"/>
        </w:rPr>
        <w:t>En línea con ello, se ha observado una</w:t>
      </w:r>
      <w:r w:rsidR="00630C2A" w:rsidRPr="005E0F83">
        <w:rPr>
          <w:sz w:val="22"/>
          <w:szCs w:val="22"/>
          <w:lang w:val="es-ES"/>
        </w:rPr>
        <w:t xml:space="preserve"> importante </w:t>
      </w:r>
      <w:r w:rsidRPr="005E0F83">
        <w:rPr>
          <w:sz w:val="22"/>
          <w:szCs w:val="22"/>
          <w:lang w:val="es-ES"/>
        </w:rPr>
        <w:t>salida de</w:t>
      </w:r>
      <w:r w:rsidR="00630C2A" w:rsidRPr="005E0F83">
        <w:rPr>
          <w:sz w:val="22"/>
          <w:szCs w:val="22"/>
          <w:lang w:val="es-ES"/>
        </w:rPr>
        <w:t xml:space="preserve"> </w:t>
      </w:r>
      <w:r w:rsidRPr="005E0F83">
        <w:rPr>
          <w:sz w:val="22"/>
          <w:szCs w:val="22"/>
          <w:lang w:val="es-ES"/>
        </w:rPr>
        <w:t>capitales</w:t>
      </w:r>
      <w:r w:rsidR="00630C2A" w:rsidRPr="005E0F83">
        <w:rPr>
          <w:sz w:val="22"/>
          <w:szCs w:val="22"/>
          <w:lang w:val="es-ES"/>
        </w:rPr>
        <w:t xml:space="preserve"> desde las economías emergentes</w:t>
      </w:r>
      <w:r w:rsidR="0001042E">
        <w:rPr>
          <w:sz w:val="22"/>
          <w:szCs w:val="22"/>
          <w:lang w:val="es-ES"/>
        </w:rPr>
        <w:t>,</w:t>
      </w:r>
      <w:r w:rsidR="00630C2A" w:rsidRPr="005E0F83">
        <w:rPr>
          <w:sz w:val="22"/>
          <w:szCs w:val="22"/>
          <w:lang w:val="es-ES"/>
        </w:rPr>
        <w:t xml:space="preserve"> buscando activos d</w:t>
      </w:r>
      <w:r w:rsidR="00E62B25">
        <w:rPr>
          <w:sz w:val="22"/>
          <w:szCs w:val="22"/>
          <w:lang w:val="es-ES"/>
        </w:rPr>
        <w:t>e</w:t>
      </w:r>
      <w:r w:rsidR="00630C2A" w:rsidRPr="005E0F83">
        <w:rPr>
          <w:sz w:val="22"/>
          <w:szCs w:val="22"/>
          <w:lang w:val="es-ES"/>
        </w:rPr>
        <w:t xml:space="preserve"> </w:t>
      </w:r>
      <w:r w:rsidRPr="005E0F83">
        <w:rPr>
          <w:sz w:val="22"/>
          <w:szCs w:val="22"/>
          <w:lang w:val="es-ES"/>
        </w:rPr>
        <w:t>mayor</w:t>
      </w:r>
      <w:r w:rsidR="00630C2A" w:rsidRPr="005E0F83">
        <w:rPr>
          <w:sz w:val="22"/>
          <w:szCs w:val="22"/>
          <w:lang w:val="es-ES"/>
        </w:rPr>
        <w:t xml:space="preserve"> calidad. </w:t>
      </w:r>
      <w:r w:rsidR="000C3880">
        <w:rPr>
          <w:sz w:val="22"/>
          <w:szCs w:val="22"/>
          <w:lang w:val="es-ES"/>
        </w:rPr>
        <w:t>Estas</w:t>
      </w:r>
      <w:r w:rsidR="00630C2A" w:rsidRPr="005E0F83">
        <w:rPr>
          <w:sz w:val="22"/>
          <w:szCs w:val="22"/>
          <w:lang w:val="es-ES"/>
        </w:rPr>
        <w:t xml:space="preserve"> condiciones han redundado en una apreciación del dólar a nivel global. </w:t>
      </w:r>
      <w:r w:rsidR="00E62B25">
        <w:rPr>
          <w:sz w:val="22"/>
          <w:szCs w:val="22"/>
          <w:lang w:val="es-ES"/>
        </w:rPr>
        <w:t xml:space="preserve">Con todo, la FED ha </w:t>
      </w:r>
    </w:p>
    <w:p w14:paraId="6B491265" w14:textId="31F52338" w:rsidR="00FA0D8A" w:rsidRPr="005E0F83" w:rsidRDefault="00E62B25" w:rsidP="005E0F83">
      <w:pPr>
        <w:jc w:val="both"/>
        <w:rPr>
          <w:sz w:val="22"/>
          <w:szCs w:val="22"/>
          <w:lang w:val="es-ES"/>
        </w:rPr>
      </w:pPr>
      <w:proofErr w:type="gramStart"/>
      <w:r>
        <w:rPr>
          <w:sz w:val="22"/>
          <w:szCs w:val="22"/>
          <w:lang w:val="es-ES"/>
        </w:rPr>
        <w:t xml:space="preserve">anunciado </w:t>
      </w:r>
      <w:r w:rsidR="00117491">
        <w:rPr>
          <w:sz w:val="22"/>
          <w:szCs w:val="22"/>
          <w:lang w:val="es-ES"/>
        </w:rPr>
        <w:t>moderación</w:t>
      </w:r>
      <w:proofErr w:type="gramEnd"/>
      <w:r w:rsidR="00117491">
        <w:rPr>
          <w:sz w:val="22"/>
          <w:szCs w:val="22"/>
          <w:lang w:val="es-ES"/>
        </w:rPr>
        <w:t xml:space="preserve"> en alzas futuras de tasas de interés, debido a que esta </w:t>
      </w:r>
      <w:r w:rsidRPr="005E0F83">
        <w:rPr>
          <w:sz w:val="22"/>
          <w:szCs w:val="22"/>
          <w:lang w:val="es-ES"/>
        </w:rPr>
        <w:t xml:space="preserve">estaría cerca de </w:t>
      </w:r>
      <w:r w:rsidR="00117491">
        <w:rPr>
          <w:sz w:val="22"/>
          <w:szCs w:val="22"/>
          <w:lang w:val="es-ES"/>
        </w:rPr>
        <w:t>su</w:t>
      </w:r>
      <w:r w:rsidRPr="005E0F83">
        <w:rPr>
          <w:sz w:val="22"/>
          <w:szCs w:val="22"/>
          <w:lang w:val="es-ES"/>
        </w:rPr>
        <w:t xml:space="preserve"> </w:t>
      </w:r>
      <w:r w:rsidR="00117491">
        <w:rPr>
          <w:sz w:val="22"/>
          <w:szCs w:val="22"/>
          <w:lang w:val="es-ES"/>
        </w:rPr>
        <w:t>nivel</w:t>
      </w:r>
      <w:r w:rsidRPr="005E0F83">
        <w:rPr>
          <w:sz w:val="22"/>
          <w:szCs w:val="22"/>
          <w:lang w:val="es-ES"/>
        </w:rPr>
        <w:t xml:space="preserve"> neutral</w:t>
      </w:r>
      <w:r w:rsidR="00117491">
        <w:rPr>
          <w:sz w:val="22"/>
          <w:szCs w:val="22"/>
          <w:lang w:val="es-ES"/>
        </w:rPr>
        <w:t>.</w:t>
      </w:r>
    </w:p>
    <w:p w14:paraId="717DDF75" w14:textId="04F2808C" w:rsidR="00637466" w:rsidRPr="005E0F83" w:rsidRDefault="00637466" w:rsidP="005E0F83">
      <w:pPr>
        <w:jc w:val="both"/>
        <w:rPr>
          <w:sz w:val="22"/>
          <w:szCs w:val="22"/>
          <w:lang w:val="es-ES"/>
        </w:rPr>
      </w:pPr>
    </w:p>
    <w:p w14:paraId="13C04903" w14:textId="7890EB90" w:rsidR="001B3F95" w:rsidRPr="005E0F83" w:rsidRDefault="00A332D4" w:rsidP="005E0F83">
      <w:pPr>
        <w:jc w:val="both"/>
        <w:rPr>
          <w:sz w:val="22"/>
          <w:szCs w:val="22"/>
          <w:lang w:val="es-ES"/>
        </w:rPr>
      </w:pPr>
      <w:r w:rsidRPr="005E0F83">
        <w:rPr>
          <w:sz w:val="22"/>
          <w:szCs w:val="22"/>
          <w:lang w:val="es-ES"/>
        </w:rPr>
        <w:t>E</w:t>
      </w:r>
      <w:r w:rsidR="0001042E">
        <w:rPr>
          <w:sz w:val="22"/>
          <w:szCs w:val="22"/>
          <w:lang w:val="es-ES"/>
        </w:rPr>
        <w:t xml:space="preserve">n materia de actividad interna, el escenario es menos favorable que </w:t>
      </w:r>
      <w:r w:rsidRPr="005E0F83">
        <w:rPr>
          <w:sz w:val="22"/>
          <w:szCs w:val="22"/>
          <w:lang w:val="es-ES"/>
        </w:rPr>
        <w:t>hace unos meses. Tras un alto crecimiento de cerca de 4</w:t>
      </w:r>
      <w:r w:rsidR="001B685D">
        <w:rPr>
          <w:sz w:val="22"/>
          <w:szCs w:val="22"/>
          <w:lang w:val="es-ES"/>
        </w:rPr>
        <w:t>,</w:t>
      </w:r>
      <w:r w:rsidRPr="005E0F83">
        <w:rPr>
          <w:sz w:val="22"/>
          <w:szCs w:val="22"/>
          <w:lang w:val="es-ES"/>
        </w:rPr>
        <w:t xml:space="preserve">8% el primer semestre, el </w:t>
      </w:r>
      <w:r w:rsidR="002C2C1B">
        <w:rPr>
          <w:sz w:val="22"/>
          <w:szCs w:val="22"/>
          <w:lang w:val="es-ES"/>
        </w:rPr>
        <w:t>tercer trimestre</w:t>
      </w:r>
      <w:r w:rsidRPr="005E0F83">
        <w:rPr>
          <w:sz w:val="22"/>
          <w:szCs w:val="22"/>
          <w:lang w:val="es-ES"/>
        </w:rPr>
        <w:t xml:space="preserve"> la economía </w:t>
      </w:r>
      <w:r w:rsidR="004333AC" w:rsidRPr="005E0F83">
        <w:rPr>
          <w:sz w:val="22"/>
          <w:szCs w:val="22"/>
          <w:lang w:val="es-ES"/>
        </w:rPr>
        <w:t>creció 2</w:t>
      </w:r>
      <w:r w:rsidR="001B685D">
        <w:rPr>
          <w:sz w:val="22"/>
          <w:szCs w:val="22"/>
          <w:lang w:val="es-ES"/>
        </w:rPr>
        <w:t>,9</w:t>
      </w:r>
      <w:r w:rsidR="004333AC" w:rsidRPr="005E0F83">
        <w:rPr>
          <w:sz w:val="22"/>
          <w:szCs w:val="22"/>
          <w:lang w:val="es-ES"/>
        </w:rPr>
        <w:t xml:space="preserve">% </w:t>
      </w:r>
      <w:r w:rsidR="0075100D" w:rsidRPr="005E0F83">
        <w:rPr>
          <w:sz w:val="22"/>
          <w:szCs w:val="22"/>
          <w:lang w:val="es-ES"/>
        </w:rPr>
        <w:t>mostr</w:t>
      </w:r>
      <w:r w:rsidR="004333AC" w:rsidRPr="005E0F83">
        <w:rPr>
          <w:sz w:val="22"/>
          <w:szCs w:val="22"/>
          <w:lang w:val="es-ES"/>
        </w:rPr>
        <w:t>ando</w:t>
      </w:r>
      <w:r w:rsidR="0075100D" w:rsidRPr="005E0F83">
        <w:rPr>
          <w:sz w:val="22"/>
          <w:szCs w:val="22"/>
          <w:lang w:val="es-ES"/>
        </w:rPr>
        <w:t xml:space="preserve"> una </w:t>
      </w:r>
      <w:r w:rsidR="004333AC" w:rsidRPr="005E0F83">
        <w:rPr>
          <w:sz w:val="22"/>
          <w:szCs w:val="22"/>
          <w:lang w:val="es-ES"/>
        </w:rPr>
        <w:t xml:space="preserve">desaceleración importante y </w:t>
      </w:r>
      <w:r w:rsidR="00E6550D" w:rsidRPr="005E0F83">
        <w:rPr>
          <w:sz w:val="22"/>
          <w:szCs w:val="22"/>
          <w:lang w:val="es-ES"/>
        </w:rPr>
        <w:t xml:space="preserve">un IMACEC en septiembre </w:t>
      </w:r>
      <w:r w:rsidR="004333AC" w:rsidRPr="005E0F83">
        <w:rPr>
          <w:sz w:val="22"/>
          <w:szCs w:val="22"/>
          <w:lang w:val="es-ES"/>
        </w:rPr>
        <w:t xml:space="preserve">creciendo </w:t>
      </w:r>
      <w:r w:rsidR="00E6550D" w:rsidRPr="005E0F83">
        <w:rPr>
          <w:sz w:val="22"/>
          <w:szCs w:val="22"/>
          <w:lang w:val="es-ES"/>
        </w:rPr>
        <w:t>2</w:t>
      </w:r>
      <w:r w:rsidR="001B685D">
        <w:rPr>
          <w:sz w:val="22"/>
          <w:szCs w:val="22"/>
          <w:lang w:val="es-ES"/>
        </w:rPr>
        <w:t>,</w:t>
      </w:r>
      <w:r w:rsidR="00E6550D" w:rsidRPr="005E0F83">
        <w:rPr>
          <w:sz w:val="22"/>
          <w:szCs w:val="22"/>
          <w:lang w:val="es-ES"/>
        </w:rPr>
        <w:t>3%</w:t>
      </w:r>
      <w:r w:rsidR="001B685D">
        <w:rPr>
          <w:sz w:val="22"/>
          <w:szCs w:val="22"/>
          <w:lang w:val="es-ES"/>
        </w:rPr>
        <w:t xml:space="preserve"> (a/a)</w:t>
      </w:r>
      <w:r w:rsidR="00E6550D" w:rsidRPr="005E0F83">
        <w:rPr>
          <w:sz w:val="22"/>
          <w:szCs w:val="22"/>
          <w:lang w:val="es-ES"/>
        </w:rPr>
        <w:t xml:space="preserve">. </w:t>
      </w:r>
      <w:r w:rsidRPr="005E0F83">
        <w:rPr>
          <w:sz w:val="22"/>
          <w:szCs w:val="22"/>
          <w:lang w:val="es-ES"/>
        </w:rPr>
        <w:t xml:space="preserve">Si bien, es esperable que el </w:t>
      </w:r>
      <w:r w:rsidR="002C2C1B">
        <w:rPr>
          <w:sz w:val="22"/>
          <w:szCs w:val="22"/>
          <w:lang w:val="es-ES"/>
        </w:rPr>
        <w:t>cuarto trimestre</w:t>
      </w:r>
      <w:r w:rsidRPr="005E0F83">
        <w:rPr>
          <w:sz w:val="22"/>
          <w:szCs w:val="22"/>
          <w:lang w:val="es-ES"/>
        </w:rPr>
        <w:t xml:space="preserve"> muestre un mejor desempeño, las </w:t>
      </w:r>
      <w:r w:rsidR="005E0F83" w:rsidRPr="005E0F83">
        <w:rPr>
          <w:sz w:val="22"/>
          <w:szCs w:val="22"/>
          <w:lang w:val="es-ES"/>
        </w:rPr>
        <w:t>expectativas</w:t>
      </w:r>
      <w:r w:rsidRPr="005E0F83">
        <w:rPr>
          <w:sz w:val="22"/>
          <w:szCs w:val="22"/>
          <w:lang w:val="es-ES"/>
        </w:rPr>
        <w:t xml:space="preserve"> d</w:t>
      </w:r>
      <w:r w:rsidR="00E6550D" w:rsidRPr="005E0F83">
        <w:rPr>
          <w:sz w:val="22"/>
          <w:szCs w:val="22"/>
          <w:lang w:val="es-ES"/>
        </w:rPr>
        <w:t>e</w:t>
      </w:r>
      <w:r w:rsidRPr="005E0F83">
        <w:rPr>
          <w:sz w:val="22"/>
          <w:szCs w:val="22"/>
          <w:lang w:val="es-ES"/>
        </w:rPr>
        <w:t xml:space="preserve"> crecimiento para el 2019 se han ajustado a la baja reflejando un escenario externo más complejo, </w:t>
      </w:r>
      <w:r w:rsidR="005E0F83" w:rsidRPr="005E0F83">
        <w:rPr>
          <w:sz w:val="22"/>
          <w:szCs w:val="22"/>
          <w:lang w:val="es-ES"/>
        </w:rPr>
        <w:t>expectativas</w:t>
      </w:r>
      <w:r w:rsidRPr="005E0F83">
        <w:rPr>
          <w:sz w:val="22"/>
          <w:szCs w:val="22"/>
          <w:lang w:val="es-ES"/>
        </w:rPr>
        <w:t xml:space="preserve"> que pudieron ser </w:t>
      </w:r>
      <w:r w:rsidR="005E0F83" w:rsidRPr="005E0F83">
        <w:rPr>
          <w:sz w:val="22"/>
          <w:szCs w:val="22"/>
          <w:lang w:val="es-ES"/>
        </w:rPr>
        <w:t>sobre optimistas</w:t>
      </w:r>
      <w:r w:rsidR="00E6550D" w:rsidRPr="005E0F83">
        <w:rPr>
          <w:sz w:val="22"/>
          <w:szCs w:val="22"/>
          <w:lang w:val="es-ES"/>
        </w:rPr>
        <w:t xml:space="preserve">, </w:t>
      </w:r>
      <w:r w:rsidRPr="005E0F83">
        <w:rPr>
          <w:sz w:val="22"/>
          <w:szCs w:val="22"/>
          <w:lang w:val="es-ES"/>
        </w:rPr>
        <w:t>reformas estructurales que aún están pendientes</w:t>
      </w:r>
      <w:r w:rsidR="00E6550D" w:rsidRPr="005E0F83">
        <w:rPr>
          <w:sz w:val="22"/>
          <w:szCs w:val="22"/>
          <w:lang w:val="es-ES"/>
        </w:rPr>
        <w:t xml:space="preserve"> y tasas</w:t>
      </w:r>
      <w:r w:rsidR="001B685D">
        <w:rPr>
          <w:sz w:val="22"/>
          <w:szCs w:val="22"/>
          <w:lang w:val="es-ES"/>
        </w:rPr>
        <w:t xml:space="preserve"> de crecimiento</w:t>
      </w:r>
      <w:r w:rsidR="00E6550D" w:rsidRPr="005E0F83">
        <w:rPr>
          <w:sz w:val="22"/>
          <w:szCs w:val="22"/>
          <w:lang w:val="es-ES"/>
        </w:rPr>
        <w:t xml:space="preserve"> más coherentes con el crecimiento potencial de la economía. </w:t>
      </w:r>
      <w:r w:rsidR="008F6008" w:rsidRPr="00444C55">
        <w:rPr>
          <w:sz w:val="22"/>
          <w:szCs w:val="22"/>
          <w:lang w:val="es-ES"/>
        </w:rPr>
        <w:t>E</w:t>
      </w:r>
      <w:r w:rsidR="00FD533A" w:rsidRPr="00444C55">
        <w:rPr>
          <w:sz w:val="22"/>
          <w:szCs w:val="22"/>
          <w:lang w:val="es-ES"/>
        </w:rPr>
        <w:t>n noviembre, e</w:t>
      </w:r>
      <w:r w:rsidR="008F6008" w:rsidRPr="00444C55">
        <w:rPr>
          <w:sz w:val="22"/>
          <w:szCs w:val="22"/>
          <w:lang w:val="es-ES"/>
        </w:rPr>
        <w:t>l Indicador Mensual de Confianza Empresarial</w:t>
      </w:r>
      <w:r w:rsidR="00B4507D" w:rsidRPr="00444C55">
        <w:rPr>
          <w:sz w:val="22"/>
          <w:szCs w:val="22"/>
          <w:lang w:val="es-ES"/>
        </w:rPr>
        <w:t xml:space="preserve"> </w:t>
      </w:r>
      <w:r w:rsidR="00FD533A" w:rsidRPr="00444C55">
        <w:rPr>
          <w:sz w:val="22"/>
          <w:szCs w:val="22"/>
          <w:lang w:val="es-ES"/>
        </w:rPr>
        <w:t>dejó de situarse en terreno optimista.</w:t>
      </w:r>
      <w:r w:rsidR="00000556" w:rsidRPr="00444C55">
        <w:rPr>
          <w:sz w:val="22"/>
          <w:szCs w:val="22"/>
          <w:lang w:val="es-ES"/>
        </w:rPr>
        <w:t xml:space="preserve"> Coherentemente</w:t>
      </w:r>
      <w:r w:rsidR="00000556" w:rsidRPr="005E0F83">
        <w:rPr>
          <w:color w:val="383838"/>
          <w:sz w:val="22"/>
          <w:szCs w:val="22"/>
          <w:lang w:val="es-ES"/>
        </w:rPr>
        <w:t xml:space="preserve">, </w:t>
      </w:r>
      <w:r w:rsidR="00000556" w:rsidRPr="005E0F83">
        <w:rPr>
          <w:sz w:val="22"/>
          <w:szCs w:val="22"/>
          <w:lang w:val="es-ES"/>
        </w:rPr>
        <w:t xml:space="preserve">el </w:t>
      </w:r>
      <w:r w:rsidR="00637466" w:rsidRPr="005E0F83">
        <w:rPr>
          <w:sz w:val="22"/>
          <w:szCs w:val="22"/>
          <w:lang w:val="es-ES"/>
        </w:rPr>
        <w:t>último Informe de Percepciones de Negocios del Banco Central</w:t>
      </w:r>
      <w:r w:rsidR="00000556" w:rsidRPr="005E0F83">
        <w:rPr>
          <w:sz w:val="22"/>
          <w:szCs w:val="22"/>
          <w:lang w:val="es-ES"/>
        </w:rPr>
        <w:t xml:space="preserve">, también refleja condiciones </w:t>
      </w:r>
      <w:r w:rsidR="00444C55">
        <w:rPr>
          <w:sz w:val="22"/>
          <w:szCs w:val="22"/>
          <w:lang w:val="es-ES"/>
        </w:rPr>
        <w:t xml:space="preserve">menos </w:t>
      </w:r>
      <w:r w:rsidR="005E0F83" w:rsidRPr="005E0F83">
        <w:rPr>
          <w:sz w:val="22"/>
          <w:szCs w:val="22"/>
          <w:lang w:val="es-ES"/>
        </w:rPr>
        <w:t>optimistas</w:t>
      </w:r>
      <w:r w:rsidR="00444C55">
        <w:rPr>
          <w:sz w:val="22"/>
          <w:szCs w:val="22"/>
          <w:lang w:val="es-ES"/>
        </w:rPr>
        <w:t>.</w:t>
      </w:r>
      <w:r w:rsidR="00B4507D">
        <w:rPr>
          <w:sz w:val="22"/>
          <w:szCs w:val="22"/>
          <w:lang w:val="es-ES"/>
        </w:rPr>
        <w:t xml:space="preserve"> </w:t>
      </w:r>
    </w:p>
    <w:p w14:paraId="523AA209" w14:textId="77777777" w:rsidR="001B3F95" w:rsidRPr="005E0F83" w:rsidRDefault="001B3F95" w:rsidP="005E0F83">
      <w:pPr>
        <w:jc w:val="both"/>
        <w:rPr>
          <w:sz w:val="22"/>
          <w:szCs w:val="22"/>
          <w:lang w:val="es-ES"/>
        </w:rPr>
      </w:pPr>
    </w:p>
    <w:p w14:paraId="65A10944" w14:textId="30860168" w:rsidR="00F02455" w:rsidRPr="005E0F83" w:rsidRDefault="002C2C1B" w:rsidP="005E0F8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El</w:t>
      </w:r>
      <w:r w:rsidR="00000556" w:rsidRPr="005E0F83">
        <w:rPr>
          <w:sz w:val="22"/>
          <w:szCs w:val="22"/>
          <w:lang w:val="es-ES"/>
        </w:rPr>
        <w:t xml:space="preserve"> mercado laboral continúa débi</w:t>
      </w:r>
      <w:r w:rsidR="001B685D">
        <w:rPr>
          <w:sz w:val="22"/>
          <w:szCs w:val="22"/>
          <w:lang w:val="es-ES"/>
        </w:rPr>
        <w:t>l. En octubre, l</w:t>
      </w:r>
      <w:r w:rsidR="00000556" w:rsidRPr="00740FF6">
        <w:rPr>
          <w:sz w:val="22"/>
          <w:szCs w:val="22"/>
          <w:lang w:val="es-ES"/>
        </w:rPr>
        <w:t xml:space="preserve">a tasa de desempleo </w:t>
      </w:r>
      <w:r w:rsidR="00000556" w:rsidRPr="005E0F83">
        <w:rPr>
          <w:sz w:val="22"/>
          <w:szCs w:val="22"/>
          <w:lang w:val="es-ES"/>
        </w:rPr>
        <w:t xml:space="preserve">se </w:t>
      </w:r>
      <w:r w:rsidR="001B685D">
        <w:rPr>
          <w:sz w:val="22"/>
          <w:szCs w:val="22"/>
          <w:lang w:val="es-ES"/>
        </w:rPr>
        <w:t xml:space="preserve">mantuvo </w:t>
      </w:r>
      <w:r w:rsidR="00000556" w:rsidRPr="005E0F83">
        <w:rPr>
          <w:sz w:val="22"/>
          <w:szCs w:val="22"/>
          <w:lang w:val="es-ES"/>
        </w:rPr>
        <w:t xml:space="preserve">en </w:t>
      </w:r>
      <w:r w:rsidR="00000556" w:rsidRPr="00740FF6">
        <w:rPr>
          <w:sz w:val="22"/>
          <w:szCs w:val="22"/>
          <w:lang w:val="es-ES"/>
        </w:rPr>
        <w:t xml:space="preserve">7,1%. </w:t>
      </w:r>
      <w:r w:rsidR="00000556" w:rsidRPr="005E0F83">
        <w:rPr>
          <w:sz w:val="22"/>
          <w:szCs w:val="22"/>
          <w:lang w:val="es-ES"/>
        </w:rPr>
        <w:t xml:space="preserve"> Si bien la economía ha creado </w:t>
      </w:r>
      <w:r w:rsidR="005E0F83" w:rsidRPr="005E0F83">
        <w:rPr>
          <w:sz w:val="22"/>
          <w:szCs w:val="22"/>
          <w:lang w:val="es-ES"/>
        </w:rPr>
        <w:t>nuevos</w:t>
      </w:r>
      <w:r w:rsidR="00000556" w:rsidRPr="005E0F83">
        <w:rPr>
          <w:sz w:val="22"/>
          <w:szCs w:val="22"/>
          <w:lang w:val="es-ES"/>
        </w:rPr>
        <w:t xml:space="preserve"> puestos de trabajo</w:t>
      </w:r>
      <w:r w:rsidR="001B3F95" w:rsidRPr="005E0F83">
        <w:rPr>
          <w:sz w:val="22"/>
          <w:szCs w:val="22"/>
          <w:lang w:val="es-ES"/>
        </w:rPr>
        <w:t xml:space="preserve"> (crece 1</w:t>
      </w:r>
      <w:r w:rsidR="001B685D">
        <w:rPr>
          <w:sz w:val="22"/>
          <w:szCs w:val="22"/>
          <w:lang w:val="es-ES"/>
        </w:rPr>
        <w:t>,</w:t>
      </w:r>
      <w:r w:rsidR="001B3F95" w:rsidRPr="005E0F83">
        <w:rPr>
          <w:sz w:val="22"/>
          <w:szCs w:val="22"/>
          <w:lang w:val="es-ES"/>
        </w:rPr>
        <w:t>0% anual)</w:t>
      </w:r>
      <w:r w:rsidR="00000556" w:rsidRPr="005E0F83">
        <w:rPr>
          <w:sz w:val="22"/>
          <w:szCs w:val="22"/>
          <w:lang w:val="es-ES"/>
        </w:rPr>
        <w:t xml:space="preserve">, esta tasa no logra </w:t>
      </w:r>
      <w:r w:rsidR="005E0F83" w:rsidRPr="005E0F83">
        <w:rPr>
          <w:sz w:val="22"/>
          <w:szCs w:val="22"/>
          <w:lang w:val="es-ES"/>
        </w:rPr>
        <w:t>compensar</w:t>
      </w:r>
      <w:r w:rsidR="00000556" w:rsidRPr="005E0F83">
        <w:rPr>
          <w:sz w:val="22"/>
          <w:szCs w:val="22"/>
          <w:lang w:val="es-ES"/>
        </w:rPr>
        <w:t xml:space="preserve"> el aumento de la fuerza de trabajo</w:t>
      </w:r>
      <w:r w:rsidR="001B3F95" w:rsidRPr="005E0F83">
        <w:rPr>
          <w:sz w:val="22"/>
          <w:szCs w:val="22"/>
          <w:lang w:val="es-ES"/>
        </w:rPr>
        <w:t xml:space="preserve"> (1</w:t>
      </w:r>
      <w:r w:rsidR="001B685D">
        <w:rPr>
          <w:sz w:val="22"/>
          <w:szCs w:val="22"/>
          <w:lang w:val="es-ES"/>
        </w:rPr>
        <w:t>,</w:t>
      </w:r>
      <w:r w:rsidR="001B3F95" w:rsidRPr="005E0F83">
        <w:rPr>
          <w:sz w:val="22"/>
          <w:szCs w:val="22"/>
          <w:lang w:val="es-ES"/>
        </w:rPr>
        <w:t>4%)</w:t>
      </w:r>
      <w:r w:rsidR="00000556" w:rsidRPr="005E0F83">
        <w:rPr>
          <w:sz w:val="22"/>
          <w:szCs w:val="22"/>
          <w:lang w:val="es-ES"/>
        </w:rPr>
        <w:t xml:space="preserve">. Un aspecto positivo es </w:t>
      </w:r>
      <w:r w:rsidR="005E0F83" w:rsidRPr="005E0F83">
        <w:rPr>
          <w:sz w:val="22"/>
          <w:szCs w:val="22"/>
          <w:lang w:val="es-ES"/>
        </w:rPr>
        <w:t>que,</w:t>
      </w:r>
      <w:r w:rsidR="00000556" w:rsidRPr="005E0F83">
        <w:rPr>
          <w:sz w:val="22"/>
          <w:szCs w:val="22"/>
          <w:lang w:val="es-ES"/>
        </w:rPr>
        <w:t xml:space="preserve"> por tipo de empleo, el asalariado </w:t>
      </w:r>
      <w:r w:rsidR="005E0F83" w:rsidRPr="005E0F83">
        <w:rPr>
          <w:sz w:val="22"/>
          <w:szCs w:val="22"/>
          <w:lang w:val="es-ES"/>
        </w:rPr>
        <w:t>aporta</w:t>
      </w:r>
      <w:r w:rsidR="00000556" w:rsidRPr="005E0F83">
        <w:rPr>
          <w:sz w:val="22"/>
          <w:szCs w:val="22"/>
          <w:lang w:val="es-ES"/>
        </w:rPr>
        <w:t xml:space="preserve"> la mayor proporción de </w:t>
      </w:r>
      <w:r w:rsidR="005E0F83" w:rsidRPr="005E0F83">
        <w:rPr>
          <w:sz w:val="22"/>
          <w:szCs w:val="22"/>
          <w:lang w:val="es-ES"/>
        </w:rPr>
        <w:t>puestos</w:t>
      </w:r>
      <w:r w:rsidR="00000556" w:rsidRPr="005E0F83">
        <w:rPr>
          <w:sz w:val="22"/>
          <w:szCs w:val="22"/>
          <w:lang w:val="es-ES"/>
        </w:rPr>
        <w:t xml:space="preserve"> de trabajo</w:t>
      </w:r>
      <w:r w:rsidR="001B3F95" w:rsidRPr="005E0F83">
        <w:rPr>
          <w:sz w:val="22"/>
          <w:szCs w:val="22"/>
          <w:lang w:val="es-ES"/>
        </w:rPr>
        <w:t xml:space="preserve"> (crece 1</w:t>
      </w:r>
      <w:r w:rsidR="00DA7327">
        <w:rPr>
          <w:sz w:val="22"/>
          <w:szCs w:val="22"/>
          <w:lang w:val="es-ES"/>
        </w:rPr>
        <w:t>,</w:t>
      </w:r>
      <w:r w:rsidR="001B3F95" w:rsidRPr="005E0F83">
        <w:rPr>
          <w:sz w:val="22"/>
          <w:szCs w:val="22"/>
          <w:lang w:val="es-ES"/>
        </w:rPr>
        <w:t>8%)</w:t>
      </w:r>
      <w:r w:rsidR="00000556" w:rsidRPr="005E0F83">
        <w:rPr>
          <w:sz w:val="22"/>
          <w:szCs w:val="22"/>
          <w:lang w:val="es-ES"/>
        </w:rPr>
        <w:t xml:space="preserve">, mientras que el trabajo por cuenta propia </w:t>
      </w:r>
      <w:r w:rsidR="00DA7327">
        <w:rPr>
          <w:sz w:val="22"/>
          <w:szCs w:val="22"/>
          <w:lang w:val="es-ES"/>
        </w:rPr>
        <w:t>continúa</w:t>
      </w:r>
      <w:r w:rsidR="00D418E8" w:rsidRPr="005E0F83">
        <w:rPr>
          <w:sz w:val="22"/>
          <w:szCs w:val="22"/>
          <w:lang w:val="es-ES"/>
        </w:rPr>
        <w:t xml:space="preserve"> disminuyendo su aporte</w:t>
      </w:r>
      <w:r w:rsidR="00444C55">
        <w:rPr>
          <w:sz w:val="22"/>
          <w:szCs w:val="22"/>
          <w:lang w:val="es-ES"/>
        </w:rPr>
        <w:t xml:space="preserve"> (decrece 0,</w:t>
      </w:r>
      <w:r w:rsidR="001B3F95" w:rsidRPr="005E0F83">
        <w:rPr>
          <w:sz w:val="22"/>
          <w:szCs w:val="22"/>
          <w:lang w:val="es-ES"/>
        </w:rPr>
        <w:t>2%)</w:t>
      </w:r>
      <w:r w:rsidR="00DA7327">
        <w:rPr>
          <w:sz w:val="22"/>
          <w:szCs w:val="22"/>
          <w:lang w:val="es-ES"/>
        </w:rPr>
        <w:t xml:space="preserve"> dando cuenta de un mejoramiento en las o</w:t>
      </w:r>
      <w:r w:rsidR="00000556" w:rsidRPr="00740FF6">
        <w:rPr>
          <w:sz w:val="22"/>
          <w:szCs w:val="22"/>
          <w:lang w:val="es-ES"/>
        </w:rPr>
        <w:t xml:space="preserve">cupaciones más formales </w:t>
      </w:r>
      <w:r w:rsidR="00DA7327">
        <w:rPr>
          <w:sz w:val="22"/>
          <w:szCs w:val="22"/>
          <w:lang w:val="es-ES"/>
        </w:rPr>
        <w:t xml:space="preserve">y </w:t>
      </w:r>
      <w:r w:rsidR="002E42E3" w:rsidRPr="005E0F83">
        <w:rPr>
          <w:sz w:val="22"/>
          <w:szCs w:val="22"/>
          <w:lang w:val="es-ES"/>
        </w:rPr>
        <w:t xml:space="preserve">de mejor calidad. </w:t>
      </w:r>
      <w:r w:rsidR="00B62CD0">
        <w:rPr>
          <w:sz w:val="22"/>
          <w:szCs w:val="22"/>
          <w:lang w:val="es-ES"/>
        </w:rPr>
        <w:t>Los</w:t>
      </w:r>
      <w:r w:rsidR="00460E16" w:rsidRPr="005E0F83">
        <w:rPr>
          <w:sz w:val="22"/>
          <w:szCs w:val="22"/>
          <w:lang w:val="es-ES"/>
        </w:rPr>
        <w:t xml:space="preserve"> salarios nominales, tras la rectificación de las cifras</w:t>
      </w:r>
      <w:r w:rsidR="00B62CD0">
        <w:rPr>
          <w:sz w:val="22"/>
          <w:szCs w:val="22"/>
          <w:lang w:val="es-ES"/>
        </w:rPr>
        <w:t xml:space="preserve"> </w:t>
      </w:r>
      <w:r w:rsidR="00460E16" w:rsidRPr="005E0F83">
        <w:rPr>
          <w:sz w:val="22"/>
          <w:szCs w:val="22"/>
          <w:lang w:val="es-ES"/>
        </w:rPr>
        <w:t>por parte del INE, muestran un</w:t>
      </w:r>
      <w:r w:rsidR="00444C55">
        <w:rPr>
          <w:sz w:val="22"/>
          <w:szCs w:val="22"/>
          <w:lang w:val="es-ES"/>
        </w:rPr>
        <w:t xml:space="preserve">a expansión acumulada </w:t>
      </w:r>
      <w:r w:rsidR="00460E16" w:rsidRPr="005E0F83">
        <w:rPr>
          <w:sz w:val="22"/>
          <w:szCs w:val="22"/>
          <w:lang w:val="es-ES"/>
        </w:rPr>
        <w:t xml:space="preserve">mayor a </w:t>
      </w:r>
      <w:r w:rsidR="00444C55">
        <w:rPr>
          <w:sz w:val="22"/>
          <w:szCs w:val="22"/>
          <w:lang w:val="es-ES"/>
        </w:rPr>
        <w:t>1,5 puntos porcentuales.</w:t>
      </w:r>
      <w:r w:rsidR="00DA7327">
        <w:rPr>
          <w:sz w:val="22"/>
          <w:szCs w:val="22"/>
          <w:lang w:val="es-ES"/>
        </w:rPr>
        <w:t xml:space="preserve"> </w:t>
      </w:r>
      <w:r w:rsidR="00460E16" w:rsidRPr="005E0F83">
        <w:rPr>
          <w:sz w:val="22"/>
          <w:szCs w:val="22"/>
          <w:lang w:val="es-ES"/>
        </w:rPr>
        <w:t>Junto con ello, la cifra de septiembre</w:t>
      </w:r>
      <w:r w:rsidR="00414464">
        <w:rPr>
          <w:sz w:val="22"/>
          <w:szCs w:val="22"/>
          <w:lang w:val="es-ES"/>
        </w:rPr>
        <w:t>,</w:t>
      </w:r>
      <w:r w:rsidR="00460E16" w:rsidRPr="005E0F83">
        <w:rPr>
          <w:sz w:val="22"/>
          <w:szCs w:val="22"/>
          <w:lang w:val="es-ES"/>
        </w:rPr>
        <w:t xml:space="preserve"> </w:t>
      </w:r>
      <w:r w:rsidR="004C7C5A" w:rsidRPr="005E0F83">
        <w:rPr>
          <w:sz w:val="22"/>
          <w:szCs w:val="22"/>
          <w:lang w:val="es-ES"/>
        </w:rPr>
        <w:t>de 4</w:t>
      </w:r>
      <w:r w:rsidR="00414464">
        <w:rPr>
          <w:sz w:val="22"/>
          <w:szCs w:val="22"/>
          <w:lang w:val="es-ES"/>
        </w:rPr>
        <w:t>,</w:t>
      </w:r>
      <w:r w:rsidR="004C7C5A" w:rsidRPr="005E0F83">
        <w:rPr>
          <w:sz w:val="22"/>
          <w:szCs w:val="22"/>
          <w:lang w:val="es-ES"/>
        </w:rPr>
        <w:t>5%</w:t>
      </w:r>
      <w:r w:rsidR="00414464">
        <w:rPr>
          <w:sz w:val="22"/>
          <w:szCs w:val="22"/>
          <w:lang w:val="es-ES"/>
        </w:rPr>
        <w:t>,</w:t>
      </w:r>
      <w:r w:rsidR="004C7C5A" w:rsidRPr="005E0F83">
        <w:rPr>
          <w:sz w:val="22"/>
          <w:szCs w:val="22"/>
          <w:lang w:val="es-ES"/>
        </w:rPr>
        <w:t xml:space="preserve"> muestra una aceleración importante </w:t>
      </w:r>
      <w:r w:rsidR="00414464">
        <w:rPr>
          <w:sz w:val="22"/>
          <w:szCs w:val="22"/>
          <w:lang w:val="es-ES"/>
        </w:rPr>
        <w:t xml:space="preserve">de este índice </w:t>
      </w:r>
      <w:r w:rsidR="004C7C5A" w:rsidRPr="005E0F83">
        <w:rPr>
          <w:sz w:val="22"/>
          <w:szCs w:val="22"/>
          <w:lang w:val="es-ES"/>
        </w:rPr>
        <w:t xml:space="preserve">tras varios meses de debilitamiento </w:t>
      </w:r>
      <w:r w:rsidR="00414464">
        <w:rPr>
          <w:sz w:val="22"/>
          <w:szCs w:val="22"/>
          <w:lang w:val="es-ES"/>
        </w:rPr>
        <w:t>(</w:t>
      </w:r>
      <w:r w:rsidR="00B4507D">
        <w:rPr>
          <w:sz w:val="22"/>
          <w:szCs w:val="22"/>
          <w:lang w:val="es-ES"/>
        </w:rPr>
        <w:t>recogiendo también</w:t>
      </w:r>
      <w:r w:rsidR="004C7C5A" w:rsidRPr="005E0F83">
        <w:rPr>
          <w:sz w:val="22"/>
          <w:szCs w:val="22"/>
          <w:lang w:val="es-ES"/>
        </w:rPr>
        <w:t xml:space="preserve"> </w:t>
      </w:r>
      <w:r w:rsidR="00414464">
        <w:rPr>
          <w:sz w:val="22"/>
          <w:szCs w:val="22"/>
          <w:lang w:val="es-ES"/>
        </w:rPr>
        <w:t>el reajuste del</w:t>
      </w:r>
      <w:r w:rsidR="004C7C5A" w:rsidRPr="005E0F83">
        <w:rPr>
          <w:sz w:val="22"/>
          <w:szCs w:val="22"/>
          <w:lang w:val="es-ES"/>
        </w:rPr>
        <w:t xml:space="preserve"> salario mínimo</w:t>
      </w:r>
      <w:r w:rsidR="00414464">
        <w:rPr>
          <w:sz w:val="22"/>
          <w:szCs w:val="22"/>
          <w:lang w:val="es-ES"/>
        </w:rPr>
        <w:t>)</w:t>
      </w:r>
      <w:r w:rsidR="004C7C5A" w:rsidRPr="005E0F83">
        <w:rPr>
          <w:sz w:val="22"/>
          <w:szCs w:val="22"/>
          <w:lang w:val="es-ES"/>
        </w:rPr>
        <w:t xml:space="preserve">. Con todo, la </w:t>
      </w:r>
      <w:r w:rsidR="005E0F83" w:rsidRPr="005E0F83">
        <w:rPr>
          <w:sz w:val="22"/>
          <w:szCs w:val="22"/>
          <w:lang w:val="es-ES"/>
        </w:rPr>
        <w:t>variación</w:t>
      </w:r>
      <w:r w:rsidR="004C7C5A" w:rsidRPr="005E0F83">
        <w:rPr>
          <w:sz w:val="22"/>
          <w:szCs w:val="22"/>
          <w:lang w:val="es-ES"/>
        </w:rPr>
        <w:t xml:space="preserve"> real del índice muestra una variación anual de 1</w:t>
      </w:r>
      <w:r w:rsidR="00414464">
        <w:rPr>
          <w:sz w:val="22"/>
          <w:szCs w:val="22"/>
          <w:lang w:val="es-ES"/>
        </w:rPr>
        <w:t>,</w:t>
      </w:r>
      <w:r w:rsidR="004C7C5A" w:rsidRPr="005E0F83">
        <w:rPr>
          <w:sz w:val="22"/>
          <w:szCs w:val="22"/>
          <w:lang w:val="es-ES"/>
        </w:rPr>
        <w:t xml:space="preserve">3%, registro aún acotado. </w:t>
      </w:r>
      <w:r w:rsidR="00444C55">
        <w:rPr>
          <w:sz w:val="22"/>
          <w:szCs w:val="22"/>
          <w:lang w:val="es-ES"/>
        </w:rPr>
        <w:t>Con todo, el fuerte dinamismo que demuestra la</w:t>
      </w:r>
      <w:r w:rsidR="00414464">
        <w:rPr>
          <w:sz w:val="22"/>
          <w:szCs w:val="22"/>
          <w:lang w:val="es-ES"/>
        </w:rPr>
        <w:t xml:space="preserve"> inversión</w:t>
      </w:r>
      <w:r w:rsidR="00444C55">
        <w:rPr>
          <w:sz w:val="22"/>
          <w:szCs w:val="22"/>
          <w:lang w:val="es-ES"/>
        </w:rPr>
        <w:t xml:space="preserve">, permite proyectar una eventual </w:t>
      </w:r>
      <w:r w:rsidR="005A667C">
        <w:rPr>
          <w:sz w:val="22"/>
          <w:szCs w:val="22"/>
          <w:lang w:val="es-ES"/>
        </w:rPr>
        <w:t>recuperación en el crecimiento en el empleo.</w:t>
      </w:r>
      <w:r w:rsidR="002E42E3" w:rsidRPr="005E0F83">
        <w:rPr>
          <w:sz w:val="22"/>
          <w:szCs w:val="22"/>
          <w:lang w:val="es-ES"/>
        </w:rPr>
        <w:t xml:space="preserve"> </w:t>
      </w:r>
      <w:r w:rsidR="005E0F83" w:rsidRPr="005E0F83">
        <w:rPr>
          <w:sz w:val="22"/>
          <w:szCs w:val="22"/>
          <w:lang w:val="es-ES"/>
        </w:rPr>
        <w:t xml:space="preserve">La </w:t>
      </w:r>
      <w:r w:rsidR="005A667C">
        <w:rPr>
          <w:sz w:val="22"/>
          <w:szCs w:val="22"/>
          <w:lang w:val="es-ES"/>
        </w:rPr>
        <w:t>FBKF</w:t>
      </w:r>
      <w:r w:rsidR="005E0F83" w:rsidRPr="005E0F83">
        <w:rPr>
          <w:sz w:val="22"/>
          <w:szCs w:val="22"/>
          <w:lang w:val="es-ES"/>
        </w:rPr>
        <w:t xml:space="preserve"> en maquinaria y equipos </w:t>
      </w:r>
      <w:r w:rsidR="00EE5A43">
        <w:rPr>
          <w:sz w:val="22"/>
          <w:szCs w:val="22"/>
          <w:lang w:val="es-ES"/>
        </w:rPr>
        <w:t xml:space="preserve">mantiene la mayor expansión </w:t>
      </w:r>
      <w:r w:rsidR="005E0F83" w:rsidRPr="005E0F83">
        <w:rPr>
          <w:sz w:val="22"/>
          <w:szCs w:val="22"/>
          <w:lang w:val="es-ES"/>
        </w:rPr>
        <w:t xml:space="preserve">durante el </w:t>
      </w:r>
      <w:r>
        <w:rPr>
          <w:sz w:val="22"/>
          <w:szCs w:val="22"/>
          <w:lang w:val="es-ES"/>
        </w:rPr>
        <w:t>3T</w:t>
      </w:r>
      <w:r w:rsidR="005E0F83" w:rsidRPr="005E0F83">
        <w:rPr>
          <w:sz w:val="22"/>
          <w:szCs w:val="22"/>
          <w:lang w:val="es-ES"/>
        </w:rPr>
        <w:t xml:space="preserve"> </w:t>
      </w:r>
      <w:r w:rsidR="00414464">
        <w:rPr>
          <w:sz w:val="22"/>
          <w:szCs w:val="22"/>
          <w:lang w:val="es-ES"/>
        </w:rPr>
        <w:t>(</w:t>
      </w:r>
      <w:r w:rsidR="005E0F83" w:rsidRPr="005E0F83">
        <w:rPr>
          <w:sz w:val="22"/>
          <w:szCs w:val="22"/>
          <w:lang w:val="es-ES"/>
        </w:rPr>
        <w:t>creci</w:t>
      </w:r>
      <w:r w:rsidR="00EE5A43">
        <w:rPr>
          <w:sz w:val="22"/>
          <w:szCs w:val="22"/>
          <w:lang w:val="es-ES"/>
        </w:rPr>
        <w:t>endo</w:t>
      </w:r>
      <w:r w:rsidR="005E0F83" w:rsidRPr="005E0F83">
        <w:rPr>
          <w:sz w:val="22"/>
          <w:szCs w:val="22"/>
          <w:lang w:val="es-ES"/>
        </w:rPr>
        <w:t xml:space="preserve"> 7</w:t>
      </w:r>
      <w:r w:rsidR="00414464">
        <w:rPr>
          <w:sz w:val="22"/>
          <w:szCs w:val="22"/>
          <w:lang w:val="es-ES"/>
        </w:rPr>
        <w:t>,</w:t>
      </w:r>
      <w:r w:rsidR="005E0F83" w:rsidRPr="005E0F83">
        <w:rPr>
          <w:sz w:val="22"/>
          <w:szCs w:val="22"/>
          <w:lang w:val="es-ES"/>
        </w:rPr>
        <w:t>1%</w:t>
      </w:r>
      <w:r w:rsidR="00EE5A43">
        <w:rPr>
          <w:sz w:val="22"/>
          <w:szCs w:val="22"/>
          <w:lang w:val="es-ES"/>
        </w:rPr>
        <w:t>, a/a</w:t>
      </w:r>
      <w:r w:rsidR="00414464">
        <w:rPr>
          <w:sz w:val="22"/>
          <w:szCs w:val="22"/>
          <w:lang w:val="es-ES"/>
        </w:rPr>
        <w:t>)</w:t>
      </w:r>
      <w:r w:rsidR="005E0F83" w:rsidRPr="005E0F83">
        <w:rPr>
          <w:sz w:val="22"/>
          <w:szCs w:val="22"/>
          <w:lang w:val="es-ES"/>
        </w:rPr>
        <w:t xml:space="preserve"> mientras que la inversión para construcción muestra un alza anual de 4</w:t>
      </w:r>
      <w:r w:rsidR="00EE5A43">
        <w:rPr>
          <w:sz w:val="22"/>
          <w:szCs w:val="22"/>
          <w:lang w:val="es-ES"/>
        </w:rPr>
        <w:t>,</w:t>
      </w:r>
      <w:r w:rsidR="005E0F83" w:rsidRPr="005E0F83">
        <w:rPr>
          <w:sz w:val="22"/>
          <w:szCs w:val="22"/>
          <w:lang w:val="es-ES"/>
        </w:rPr>
        <w:t xml:space="preserve">4%. </w:t>
      </w:r>
      <w:r w:rsidR="00EE5A43">
        <w:rPr>
          <w:sz w:val="22"/>
          <w:szCs w:val="22"/>
          <w:lang w:val="es-ES"/>
        </w:rPr>
        <w:t xml:space="preserve">Junto con ello, </w:t>
      </w:r>
      <w:r w:rsidR="00F02455" w:rsidRPr="005E0F83">
        <w:rPr>
          <w:sz w:val="22"/>
          <w:szCs w:val="22"/>
          <w:lang w:val="es-ES"/>
        </w:rPr>
        <w:t xml:space="preserve">las </w:t>
      </w:r>
      <w:r w:rsidR="005E0F83" w:rsidRPr="005E0F83">
        <w:rPr>
          <w:sz w:val="22"/>
          <w:szCs w:val="22"/>
          <w:lang w:val="es-ES"/>
        </w:rPr>
        <w:t>importaciones</w:t>
      </w:r>
      <w:r w:rsidR="00F02455" w:rsidRPr="005E0F83">
        <w:rPr>
          <w:sz w:val="22"/>
          <w:szCs w:val="22"/>
          <w:lang w:val="es-ES"/>
        </w:rPr>
        <w:t xml:space="preserve"> de bienes de capital siguen creciendo fuertemente.</w:t>
      </w:r>
    </w:p>
    <w:p w14:paraId="0C58736F" w14:textId="385124D1" w:rsidR="008D5325" w:rsidRPr="005E0F83" w:rsidRDefault="008D5325" w:rsidP="005E0F83">
      <w:pPr>
        <w:jc w:val="both"/>
        <w:rPr>
          <w:sz w:val="22"/>
          <w:szCs w:val="22"/>
          <w:lang w:val="es-ES"/>
        </w:rPr>
      </w:pPr>
    </w:p>
    <w:p w14:paraId="58C60858" w14:textId="5E4B7CAF" w:rsidR="00B62CD0" w:rsidRDefault="00CF1124" w:rsidP="00B62CD0">
      <w:pPr>
        <w:jc w:val="both"/>
        <w:rPr>
          <w:sz w:val="22"/>
          <w:szCs w:val="22"/>
          <w:lang w:val="es-ES"/>
        </w:rPr>
      </w:pPr>
      <w:r w:rsidRPr="005E0F83">
        <w:rPr>
          <w:sz w:val="22"/>
          <w:szCs w:val="22"/>
          <w:lang w:val="es-ES"/>
        </w:rPr>
        <w:t>Respecto de l</w:t>
      </w:r>
      <w:r w:rsidR="00EE5A43">
        <w:rPr>
          <w:sz w:val="22"/>
          <w:szCs w:val="22"/>
          <w:lang w:val="es-ES"/>
        </w:rPr>
        <w:t>a inflación IPC</w:t>
      </w:r>
      <w:r w:rsidRPr="005E0F83">
        <w:rPr>
          <w:sz w:val="22"/>
          <w:szCs w:val="22"/>
          <w:lang w:val="es-ES"/>
        </w:rPr>
        <w:t xml:space="preserve">, </w:t>
      </w:r>
      <w:r w:rsidR="00EE5A43">
        <w:rPr>
          <w:sz w:val="22"/>
          <w:szCs w:val="22"/>
          <w:lang w:val="es-ES"/>
        </w:rPr>
        <w:t xml:space="preserve">tras </w:t>
      </w:r>
      <w:r w:rsidR="00E83562">
        <w:rPr>
          <w:sz w:val="22"/>
          <w:szCs w:val="22"/>
          <w:lang w:val="es-ES"/>
        </w:rPr>
        <w:t xml:space="preserve">el registro de </w:t>
      </w:r>
      <w:r w:rsidR="005E0F83" w:rsidRPr="005E0F83">
        <w:rPr>
          <w:sz w:val="22"/>
          <w:szCs w:val="22"/>
          <w:lang w:val="es-ES"/>
        </w:rPr>
        <w:t>3</w:t>
      </w:r>
      <w:r w:rsidR="00EE5A43">
        <w:rPr>
          <w:sz w:val="22"/>
          <w:szCs w:val="22"/>
          <w:lang w:val="es-ES"/>
        </w:rPr>
        <w:t>,</w:t>
      </w:r>
      <w:r w:rsidR="005E0F83" w:rsidRPr="005E0F83">
        <w:rPr>
          <w:sz w:val="22"/>
          <w:szCs w:val="22"/>
          <w:lang w:val="es-ES"/>
        </w:rPr>
        <w:t>1% en septiembre</w:t>
      </w:r>
      <w:r w:rsidR="00EE5A43">
        <w:rPr>
          <w:sz w:val="22"/>
          <w:szCs w:val="22"/>
          <w:lang w:val="es-ES"/>
        </w:rPr>
        <w:t xml:space="preserve">, en octubre </w:t>
      </w:r>
      <w:r w:rsidR="005A667C">
        <w:rPr>
          <w:sz w:val="22"/>
          <w:szCs w:val="22"/>
          <w:lang w:val="es-ES"/>
        </w:rPr>
        <w:t>é</w:t>
      </w:r>
      <w:r w:rsidR="00EE5A43">
        <w:rPr>
          <w:sz w:val="22"/>
          <w:szCs w:val="22"/>
          <w:lang w:val="es-ES"/>
        </w:rPr>
        <w:t xml:space="preserve">sta </w:t>
      </w:r>
      <w:r w:rsidR="00E83562">
        <w:rPr>
          <w:sz w:val="22"/>
          <w:szCs w:val="22"/>
          <w:lang w:val="es-ES"/>
        </w:rPr>
        <w:t xml:space="preserve">se situó en </w:t>
      </w:r>
      <w:r w:rsidR="005E0F83" w:rsidRPr="005E0F83">
        <w:rPr>
          <w:sz w:val="22"/>
          <w:szCs w:val="22"/>
          <w:lang w:val="es-ES"/>
        </w:rPr>
        <w:t>2</w:t>
      </w:r>
      <w:r w:rsidR="00EE5A43">
        <w:rPr>
          <w:sz w:val="22"/>
          <w:szCs w:val="22"/>
          <w:lang w:val="es-ES"/>
        </w:rPr>
        <w:t>,</w:t>
      </w:r>
      <w:r w:rsidR="005E0F83" w:rsidRPr="005E0F83">
        <w:rPr>
          <w:sz w:val="22"/>
          <w:szCs w:val="22"/>
          <w:lang w:val="es-ES"/>
        </w:rPr>
        <w:t>9%</w:t>
      </w:r>
      <w:r w:rsidR="005A667C">
        <w:rPr>
          <w:sz w:val="22"/>
          <w:szCs w:val="22"/>
          <w:lang w:val="es-ES"/>
        </w:rPr>
        <w:t>.</w:t>
      </w:r>
      <w:r w:rsidR="005E0F83" w:rsidRPr="005E0F83">
        <w:rPr>
          <w:sz w:val="22"/>
          <w:szCs w:val="22"/>
          <w:lang w:val="es-ES"/>
        </w:rPr>
        <w:t xml:space="preserve"> </w:t>
      </w:r>
      <w:r w:rsidR="005A667C">
        <w:rPr>
          <w:sz w:val="22"/>
          <w:szCs w:val="22"/>
          <w:lang w:val="es-ES"/>
        </w:rPr>
        <w:t>El menor precio del petróleo</w:t>
      </w:r>
      <w:r w:rsidR="00A43DFF">
        <w:rPr>
          <w:sz w:val="22"/>
          <w:szCs w:val="22"/>
          <w:lang w:val="es-ES"/>
        </w:rPr>
        <w:t xml:space="preserve"> debiera restar presiones inflacionarias en el corto plazo</w:t>
      </w:r>
      <w:r w:rsidR="005A667C">
        <w:rPr>
          <w:sz w:val="22"/>
          <w:szCs w:val="22"/>
          <w:lang w:val="es-ES"/>
        </w:rPr>
        <w:t>.</w:t>
      </w:r>
      <w:r w:rsidR="00581BEB" w:rsidRPr="00581BEB">
        <w:rPr>
          <w:sz w:val="22"/>
          <w:szCs w:val="22"/>
          <w:lang w:val="es-ES"/>
        </w:rPr>
        <w:t xml:space="preserve"> </w:t>
      </w:r>
      <w:r w:rsidR="00436EAE">
        <w:rPr>
          <w:sz w:val="22"/>
          <w:szCs w:val="22"/>
          <w:lang w:val="es-ES"/>
        </w:rPr>
        <w:t xml:space="preserve">Descomponiendo </w:t>
      </w:r>
      <w:r w:rsidR="00581BEB">
        <w:rPr>
          <w:sz w:val="22"/>
          <w:szCs w:val="22"/>
          <w:lang w:val="es-ES"/>
        </w:rPr>
        <w:t xml:space="preserve">la inflación en </w:t>
      </w:r>
      <w:r w:rsidR="00436EAE">
        <w:rPr>
          <w:sz w:val="22"/>
          <w:szCs w:val="22"/>
          <w:lang w:val="es-ES"/>
        </w:rPr>
        <w:t xml:space="preserve">sus componentes transables y no transables, </w:t>
      </w:r>
      <w:r w:rsidR="00436EAE" w:rsidRPr="00581BEB">
        <w:rPr>
          <w:sz w:val="22"/>
          <w:szCs w:val="22"/>
          <w:lang w:val="es-ES"/>
        </w:rPr>
        <w:t>la inflación transable siguió acotada, creciendo 2,4% a/a (vs 2,9 en septiembre) y en línea con precios internacionales más bajos</w:t>
      </w:r>
      <w:r w:rsidR="00581BEB">
        <w:rPr>
          <w:sz w:val="22"/>
          <w:szCs w:val="22"/>
          <w:lang w:val="es-ES"/>
        </w:rPr>
        <w:t xml:space="preserve"> y la fortaleza del dólar a nivel global</w:t>
      </w:r>
      <w:r w:rsidR="00436EAE" w:rsidRPr="00581BEB">
        <w:rPr>
          <w:sz w:val="22"/>
          <w:szCs w:val="22"/>
          <w:lang w:val="es-ES"/>
        </w:rPr>
        <w:t xml:space="preserve">. La inflación no transable, por su parte, continuó con alzas, alcanzando un crecimiento anual de 3,6% (vs 3,4 en septiembre). </w:t>
      </w:r>
      <w:r w:rsidR="00436EAE" w:rsidRPr="005E0F83">
        <w:rPr>
          <w:sz w:val="22"/>
          <w:szCs w:val="22"/>
          <w:lang w:val="es-ES"/>
        </w:rPr>
        <w:t xml:space="preserve">Las medidas subyacentes, por su parte, </w:t>
      </w:r>
      <w:r w:rsidR="00436EAE">
        <w:rPr>
          <w:sz w:val="22"/>
          <w:szCs w:val="22"/>
          <w:lang w:val="es-ES"/>
        </w:rPr>
        <w:t xml:space="preserve">se han mantenido acotadas en el </w:t>
      </w:r>
      <w:r w:rsidR="00436EAE" w:rsidRPr="005E0F83">
        <w:rPr>
          <w:sz w:val="22"/>
          <w:szCs w:val="22"/>
          <w:lang w:val="es-ES"/>
        </w:rPr>
        <w:t>piso del rango meta</w:t>
      </w:r>
      <w:r w:rsidR="00581BEB">
        <w:rPr>
          <w:sz w:val="22"/>
          <w:szCs w:val="22"/>
          <w:lang w:val="es-ES"/>
        </w:rPr>
        <w:t>, pero se espera que sigan subiendo gradualmente. Para fin de año, s</w:t>
      </w:r>
      <w:r w:rsidR="00EF1B20" w:rsidRPr="005E0F83">
        <w:rPr>
          <w:sz w:val="22"/>
          <w:szCs w:val="22"/>
          <w:lang w:val="es-ES"/>
        </w:rPr>
        <w:t xml:space="preserve">e espera que la inflación cierre </w:t>
      </w:r>
      <w:r w:rsidR="00B62CD0">
        <w:rPr>
          <w:sz w:val="22"/>
          <w:szCs w:val="22"/>
          <w:lang w:val="es-ES"/>
        </w:rPr>
        <w:t>cerca de</w:t>
      </w:r>
      <w:r w:rsidR="00EF1B20" w:rsidRPr="005E0F83">
        <w:rPr>
          <w:sz w:val="22"/>
          <w:szCs w:val="22"/>
          <w:lang w:val="es-ES"/>
        </w:rPr>
        <w:t xml:space="preserve"> 3%</w:t>
      </w:r>
      <w:r w:rsidR="00D27DC9">
        <w:rPr>
          <w:sz w:val="22"/>
          <w:szCs w:val="22"/>
          <w:lang w:val="es-ES"/>
        </w:rPr>
        <w:t xml:space="preserve">. </w:t>
      </w:r>
      <w:r w:rsidR="00EB53E9" w:rsidRPr="005E0F83">
        <w:rPr>
          <w:sz w:val="22"/>
          <w:szCs w:val="22"/>
          <w:lang w:val="es-ES"/>
        </w:rPr>
        <w:t>Coherente</w:t>
      </w:r>
      <w:r w:rsidR="00E83562">
        <w:rPr>
          <w:sz w:val="22"/>
          <w:szCs w:val="22"/>
          <w:lang w:val="es-ES"/>
        </w:rPr>
        <w:t xml:space="preserve">mente, </w:t>
      </w:r>
      <w:r w:rsidR="00100244" w:rsidRPr="00740FF6">
        <w:rPr>
          <w:sz w:val="22"/>
          <w:szCs w:val="22"/>
          <w:lang w:val="es-ES"/>
        </w:rPr>
        <w:t>las expectativas de inflación</w:t>
      </w:r>
      <w:r w:rsidR="00EB53E9" w:rsidRPr="005E0F83">
        <w:rPr>
          <w:sz w:val="22"/>
          <w:szCs w:val="22"/>
          <w:lang w:val="es-ES"/>
        </w:rPr>
        <w:t xml:space="preserve"> </w:t>
      </w:r>
      <w:r w:rsidR="00E83562">
        <w:rPr>
          <w:sz w:val="22"/>
          <w:szCs w:val="22"/>
          <w:lang w:val="es-ES"/>
        </w:rPr>
        <w:t>(</w:t>
      </w:r>
      <w:r w:rsidR="00100244" w:rsidRPr="00740FF6">
        <w:rPr>
          <w:sz w:val="22"/>
          <w:szCs w:val="22"/>
          <w:lang w:val="es-ES"/>
        </w:rPr>
        <w:t xml:space="preserve">encuesta de expectativas económicas </w:t>
      </w:r>
      <w:r w:rsidR="00B968D6" w:rsidRPr="005E0F83">
        <w:rPr>
          <w:sz w:val="22"/>
          <w:szCs w:val="22"/>
          <w:lang w:val="es-ES"/>
        </w:rPr>
        <w:t>y</w:t>
      </w:r>
      <w:r w:rsidR="00100244" w:rsidRPr="00740FF6">
        <w:rPr>
          <w:sz w:val="22"/>
          <w:szCs w:val="22"/>
          <w:lang w:val="es-ES"/>
        </w:rPr>
        <w:t xml:space="preserve"> encuesta de operadores financieros</w:t>
      </w:r>
      <w:r w:rsidR="00E83562">
        <w:rPr>
          <w:sz w:val="22"/>
          <w:szCs w:val="22"/>
          <w:lang w:val="es-ES"/>
        </w:rPr>
        <w:t>)</w:t>
      </w:r>
      <w:r w:rsidR="00100244" w:rsidRPr="00740FF6">
        <w:rPr>
          <w:sz w:val="22"/>
          <w:szCs w:val="22"/>
          <w:lang w:val="es-ES"/>
        </w:rPr>
        <w:t xml:space="preserve"> muestran una </w:t>
      </w:r>
      <w:r w:rsidR="005A667C">
        <w:rPr>
          <w:sz w:val="22"/>
          <w:szCs w:val="22"/>
          <w:lang w:val="es-ES"/>
        </w:rPr>
        <w:t>cifra alineada con la meta</w:t>
      </w:r>
      <w:r w:rsidR="00100244" w:rsidRPr="00740FF6">
        <w:rPr>
          <w:sz w:val="22"/>
          <w:szCs w:val="22"/>
          <w:lang w:val="es-ES"/>
        </w:rPr>
        <w:t xml:space="preserve"> a fines del horizonte de política</w:t>
      </w:r>
      <w:r w:rsidR="005A667C">
        <w:rPr>
          <w:sz w:val="22"/>
          <w:szCs w:val="22"/>
          <w:lang w:val="es-ES"/>
        </w:rPr>
        <w:t xml:space="preserve">, </w:t>
      </w:r>
      <w:r w:rsidR="00581BEB">
        <w:rPr>
          <w:sz w:val="22"/>
          <w:szCs w:val="22"/>
          <w:lang w:val="es-ES"/>
        </w:rPr>
        <w:t xml:space="preserve">lo que </w:t>
      </w:r>
      <w:r w:rsidR="00B62CD0">
        <w:rPr>
          <w:sz w:val="22"/>
          <w:szCs w:val="22"/>
          <w:lang w:val="es-ES"/>
        </w:rPr>
        <w:t xml:space="preserve">también </w:t>
      </w:r>
      <w:r w:rsidR="005A667C">
        <w:rPr>
          <w:sz w:val="22"/>
          <w:szCs w:val="22"/>
          <w:lang w:val="es-ES"/>
        </w:rPr>
        <w:t>se refleja en</w:t>
      </w:r>
      <w:r w:rsidR="00B62CD0">
        <w:rPr>
          <w:sz w:val="22"/>
          <w:szCs w:val="22"/>
          <w:lang w:val="es-ES"/>
        </w:rPr>
        <w:t xml:space="preserve"> </w:t>
      </w:r>
      <w:r w:rsidR="00581BEB">
        <w:rPr>
          <w:sz w:val="22"/>
          <w:szCs w:val="22"/>
          <w:lang w:val="es-ES"/>
        </w:rPr>
        <w:t xml:space="preserve">las </w:t>
      </w:r>
      <w:r w:rsidR="00100244" w:rsidRPr="00740FF6">
        <w:rPr>
          <w:sz w:val="22"/>
          <w:szCs w:val="22"/>
          <w:lang w:val="es-ES"/>
        </w:rPr>
        <w:t>expectativas implícitas en</w:t>
      </w:r>
      <w:r w:rsidR="001C4AA3" w:rsidRPr="005E0F83">
        <w:rPr>
          <w:sz w:val="22"/>
          <w:szCs w:val="22"/>
          <w:lang w:val="es-ES"/>
        </w:rPr>
        <w:t xml:space="preserve"> los</w:t>
      </w:r>
      <w:r w:rsidR="00100244" w:rsidRPr="00740FF6">
        <w:rPr>
          <w:sz w:val="22"/>
          <w:szCs w:val="22"/>
          <w:lang w:val="es-ES"/>
        </w:rPr>
        <w:t xml:space="preserve"> precios de activos financieros</w:t>
      </w:r>
      <w:r w:rsidR="00581BEB">
        <w:rPr>
          <w:sz w:val="22"/>
          <w:szCs w:val="22"/>
          <w:lang w:val="es-ES"/>
        </w:rPr>
        <w:t xml:space="preserve">. </w:t>
      </w:r>
      <w:r w:rsidR="001C4AA3" w:rsidRPr="005E0F83">
        <w:rPr>
          <w:sz w:val="22"/>
          <w:szCs w:val="22"/>
          <w:lang w:val="es-ES"/>
        </w:rPr>
        <w:t xml:space="preserve">De todas formas, </w:t>
      </w:r>
      <w:r w:rsidR="00D27DC9">
        <w:rPr>
          <w:sz w:val="22"/>
          <w:szCs w:val="22"/>
          <w:lang w:val="es-ES"/>
        </w:rPr>
        <w:t>es</w:t>
      </w:r>
      <w:r w:rsidR="001C4AA3" w:rsidRPr="005E0F83">
        <w:rPr>
          <w:sz w:val="22"/>
          <w:szCs w:val="22"/>
          <w:lang w:val="es-ES"/>
        </w:rPr>
        <w:t xml:space="preserve"> </w:t>
      </w:r>
      <w:r w:rsidR="00EB53E9" w:rsidRPr="005E0F83">
        <w:rPr>
          <w:sz w:val="22"/>
          <w:szCs w:val="22"/>
          <w:lang w:val="es-ES"/>
        </w:rPr>
        <w:t xml:space="preserve">probable que la inflación siga </w:t>
      </w:r>
      <w:r w:rsidR="00B62CD0">
        <w:rPr>
          <w:sz w:val="22"/>
          <w:szCs w:val="22"/>
          <w:lang w:val="es-ES"/>
        </w:rPr>
        <w:t>volátil</w:t>
      </w:r>
      <w:r w:rsidR="00EB53E9" w:rsidRPr="005E0F83">
        <w:rPr>
          <w:sz w:val="22"/>
          <w:szCs w:val="22"/>
          <w:lang w:val="es-ES"/>
        </w:rPr>
        <w:t xml:space="preserve"> </w:t>
      </w:r>
      <w:r w:rsidR="00E83562">
        <w:rPr>
          <w:sz w:val="22"/>
          <w:szCs w:val="22"/>
          <w:lang w:val="es-ES"/>
        </w:rPr>
        <w:t>en los próximos meses</w:t>
      </w:r>
      <w:r w:rsidR="00581BEB">
        <w:rPr>
          <w:sz w:val="22"/>
          <w:szCs w:val="22"/>
          <w:lang w:val="es-ES"/>
        </w:rPr>
        <w:t xml:space="preserve">, </w:t>
      </w:r>
      <w:r w:rsidR="00E83562">
        <w:rPr>
          <w:sz w:val="22"/>
          <w:szCs w:val="22"/>
          <w:lang w:val="es-ES"/>
        </w:rPr>
        <w:t xml:space="preserve">tanto </w:t>
      </w:r>
      <w:r w:rsidR="00EB53E9" w:rsidRPr="005E0F83">
        <w:rPr>
          <w:sz w:val="22"/>
          <w:szCs w:val="22"/>
          <w:lang w:val="es-ES"/>
        </w:rPr>
        <w:t>por la</w:t>
      </w:r>
      <w:r w:rsidR="00E83562">
        <w:rPr>
          <w:sz w:val="22"/>
          <w:szCs w:val="22"/>
          <w:lang w:val="es-ES"/>
        </w:rPr>
        <w:t xml:space="preserve"> volatilidad misma del tipo de cambio, que actúa como variable de ajuste ante shocks externos</w:t>
      </w:r>
      <w:r w:rsidR="00B62CD0">
        <w:rPr>
          <w:sz w:val="22"/>
          <w:szCs w:val="22"/>
          <w:lang w:val="es-ES"/>
        </w:rPr>
        <w:t xml:space="preserve"> </w:t>
      </w:r>
      <w:r w:rsidR="00581BEB">
        <w:rPr>
          <w:sz w:val="22"/>
          <w:szCs w:val="22"/>
          <w:lang w:val="es-ES"/>
        </w:rPr>
        <w:t xml:space="preserve">como </w:t>
      </w:r>
      <w:r w:rsidR="00EB53E9" w:rsidRPr="005E0F83">
        <w:rPr>
          <w:sz w:val="22"/>
          <w:szCs w:val="22"/>
          <w:lang w:val="es-ES"/>
        </w:rPr>
        <w:t xml:space="preserve">por el propio ajuste </w:t>
      </w:r>
      <w:r w:rsidR="005E0F83" w:rsidRPr="005E0F83">
        <w:rPr>
          <w:sz w:val="22"/>
          <w:szCs w:val="22"/>
          <w:lang w:val="es-ES"/>
        </w:rPr>
        <w:t>cíclico</w:t>
      </w:r>
      <w:r w:rsidR="00EB53E9" w:rsidRPr="005E0F83">
        <w:rPr>
          <w:sz w:val="22"/>
          <w:szCs w:val="22"/>
          <w:lang w:val="es-ES"/>
        </w:rPr>
        <w:t xml:space="preserve"> de la economía. </w:t>
      </w:r>
    </w:p>
    <w:p w14:paraId="6A08DBF0" w14:textId="77777777" w:rsidR="00B62CD0" w:rsidRPr="00B62CD0" w:rsidRDefault="00B62CD0" w:rsidP="00B62CD0">
      <w:pPr>
        <w:jc w:val="both"/>
        <w:rPr>
          <w:b/>
          <w:sz w:val="12"/>
          <w:szCs w:val="12"/>
          <w:lang w:val="es-ES"/>
        </w:rPr>
      </w:pPr>
    </w:p>
    <w:p w14:paraId="59A1674F" w14:textId="325B0CDA" w:rsidR="00DD2F28" w:rsidRPr="00B62CD0" w:rsidRDefault="00746BD4" w:rsidP="00B62CD0">
      <w:pPr>
        <w:jc w:val="both"/>
        <w:rPr>
          <w:sz w:val="22"/>
          <w:szCs w:val="22"/>
          <w:lang w:val="es-ES"/>
        </w:rPr>
      </w:pPr>
      <w:r w:rsidRPr="005E0F83">
        <w:rPr>
          <w:b/>
          <w:sz w:val="22"/>
          <w:szCs w:val="22"/>
          <w:lang w:val="es-ES"/>
        </w:rPr>
        <w:t>En este</w:t>
      </w:r>
      <w:r w:rsidR="001034F9">
        <w:rPr>
          <w:b/>
          <w:sz w:val="22"/>
          <w:szCs w:val="22"/>
          <w:lang w:val="es-ES"/>
        </w:rPr>
        <w:t xml:space="preserve"> </w:t>
      </w:r>
      <w:r w:rsidRPr="005E0F83">
        <w:rPr>
          <w:b/>
          <w:sz w:val="22"/>
          <w:szCs w:val="22"/>
          <w:lang w:val="es-ES"/>
        </w:rPr>
        <w:t>contexto</w:t>
      </w:r>
      <w:r w:rsidR="003B4B15" w:rsidRPr="005E0F83">
        <w:rPr>
          <w:b/>
          <w:sz w:val="22"/>
          <w:szCs w:val="22"/>
          <w:lang w:val="es-ES"/>
        </w:rPr>
        <w:t xml:space="preserve"> de</w:t>
      </w:r>
      <w:r w:rsidR="000605B3" w:rsidRPr="005E0F83">
        <w:rPr>
          <w:b/>
          <w:sz w:val="22"/>
          <w:szCs w:val="22"/>
          <w:lang w:val="es-ES"/>
        </w:rPr>
        <w:t xml:space="preserve"> </w:t>
      </w:r>
      <w:r w:rsidR="00780B32" w:rsidRPr="005E0F83">
        <w:rPr>
          <w:b/>
          <w:sz w:val="22"/>
          <w:szCs w:val="22"/>
          <w:lang w:val="es-ES"/>
        </w:rPr>
        <w:t xml:space="preserve">recuperación </w:t>
      </w:r>
      <w:r w:rsidR="00AB3325" w:rsidRPr="005E0F83">
        <w:rPr>
          <w:b/>
          <w:sz w:val="22"/>
          <w:szCs w:val="22"/>
          <w:lang w:val="es-ES"/>
        </w:rPr>
        <w:t>de la actividad</w:t>
      </w:r>
      <w:r w:rsidR="00182C6D" w:rsidRPr="005E0F83">
        <w:rPr>
          <w:b/>
          <w:sz w:val="22"/>
          <w:szCs w:val="22"/>
          <w:lang w:val="es-ES"/>
        </w:rPr>
        <w:t xml:space="preserve">, </w:t>
      </w:r>
      <w:r w:rsidR="000605B3" w:rsidRPr="005E0F83">
        <w:rPr>
          <w:b/>
          <w:sz w:val="22"/>
          <w:szCs w:val="22"/>
          <w:lang w:val="es-ES"/>
        </w:rPr>
        <w:t xml:space="preserve">pero debilitada en el margen, y de mayor incertidumbre externa, </w:t>
      </w:r>
      <w:r w:rsidRPr="005E0F83">
        <w:rPr>
          <w:b/>
          <w:sz w:val="22"/>
          <w:szCs w:val="22"/>
          <w:lang w:val="es-ES"/>
        </w:rPr>
        <w:t>el GPM recomienda</w:t>
      </w:r>
      <w:r w:rsidR="00EE5BFF" w:rsidRPr="005E0F83">
        <w:rPr>
          <w:b/>
          <w:sz w:val="22"/>
          <w:szCs w:val="22"/>
          <w:lang w:val="es-ES"/>
        </w:rPr>
        <w:t xml:space="preserve"> mantener </w:t>
      </w:r>
      <w:r w:rsidR="003F4FA7" w:rsidRPr="005E0F83">
        <w:rPr>
          <w:b/>
          <w:sz w:val="22"/>
          <w:szCs w:val="22"/>
          <w:lang w:val="es-ES"/>
        </w:rPr>
        <w:t xml:space="preserve">la </w:t>
      </w:r>
      <w:r w:rsidR="001034F9">
        <w:rPr>
          <w:b/>
          <w:sz w:val="22"/>
          <w:szCs w:val="22"/>
          <w:lang w:val="es-ES"/>
        </w:rPr>
        <w:t>TPM</w:t>
      </w:r>
      <w:r w:rsidR="003F4FA7" w:rsidRPr="005E0F83">
        <w:rPr>
          <w:b/>
          <w:sz w:val="22"/>
          <w:szCs w:val="22"/>
          <w:lang w:val="es-ES"/>
        </w:rPr>
        <w:t xml:space="preserve"> </w:t>
      </w:r>
      <w:r w:rsidR="006064A2" w:rsidRPr="005E0F83">
        <w:rPr>
          <w:b/>
          <w:sz w:val="22"/>
          <w:szCs w:val="22"/>
          <w:lang w:val="es-ES"/>
        </w:rPr>
        <w:t xml:space="preserve">en </w:t>
      </w:r>
      <w:r w:rsidR="00EE5BFF" w:rsidRPr="005E0F83">
        <w:rPr>
          <w:b/>
          <w:sz w:val="22"/>
          <w:szCs w:val="22"/>
          <w:lang w:val="es-ES"/>
        </w:rPr>
        <w:t>2</w:t>
      </w:r>
      <w:r w:rsidR="00AB3325" w:rsidRPr="005E0F83">
        <w:rPr>
          <w:b/>
          <w:sz w:val="22"/>
          <w:szCs w:val="22"/>
          <w:lang w:val="es-ES"/>
        </w:rPr>
        <w:t>,</w:t>
      </w:r>
      <w:r w:rsidR="000605B3" w:rsidRPr="005E0F83">
        <w:rPr>
          <w:b/>
          <w:sz w:val="22"/>
          <w:szCs w:val="22"/>
          <w:lang w:val="es-ES"/>
        </w:rPr>
        <w:t>7</w:t>
      </w:r>
      <w:r w:rsidR="00EE5BFF" w:rsidRPr="005E0F83">
        <w:rPr>
          <w:b/>
          <w:sz w:val="22"/>
          <w:szCs w:val="22"/>
          <w:lang w:val="es-ES"/>
        </w:rPr>
        <w:t>5%</w:t>
      </w:r>
      <w:r w:rsidR="00AB3325" w:rsidRPr="005E0F83">
        <w:rPr>
          <w:b/>
          <w:sz w:val="22"/>
          <w:szCs w:val="22"/>
          <w:lang w:val="es-ES"/>
        </w:rPr>
        <w:t>,</w:t>
      </w:r>
      <w:r w:rsidR="00EE5BFF" w:rsidRPr="005E0F83">
        <w:rPr>
          <w:b/>
          <w:sz w:val="22"/>
          <w:szCs w:val="22"/>
          <w:lang w:val="es-ES"/>
        </w:rPr>
        <w:t xml:space="preserve"> a la espera de mayores antecedentes sobre la evolución de la actividad</w:t>
      </w:r>
      <w:r w:rsidR="00B4507D">
        <w:rPr>
          <w:b/>
          <w:sz w:val="22"/>
          <w:szCs w:val="22"/>
          <w:lang w:val="es-ES"/>
        </w:rPr>
        <w:t>, el entorno externo y</w:t>
      </w:r>
      <w:r w:rsidR="00780B32" w:rsidRPr="005E0F83">
        <w:rPr>
          <w:b/>
          <w:sz w:val="22"/>
          <w:szCs w:val="22"/>
          <w:lang w:val="es-ES"/>
        </w:rPr>
        <w:t xml:space="preserve"> </w:t>
      </w:r>
      <w:r w:rsidR="00EE5BFF" w:rsidRPr="005E0F83">
        <w:rPr>
          <w:b/>
          <w:sz w:val="22"/>
          <w:szCs w:val="22"/>
          <w:lang w:val="es-ES"/>
        </w:rPr>
        <w:t xml:space="preserve">las variables nominales claves. </w:t>
      </w:r>
    </w:p>
    <w:sectPr w:rsidR="00DD2F28" w:rsidRPr="00B62CD0" w:rsidSect="001034F9"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C0B"/>
    <w:multiLevelType w:val="hybridMultilevel"/>
    <w:tmpl w:val="127C6518"/>
    <w:lvl w:ilvl="0" w:tplc="C478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101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4241B"/>
    <w:multiLevelType w:val="hybridMultilevel"/>
    <w:tmpl w:val="A33811CA"/>
    <w:lvl w:ilvl="0" w:tplc="AFAAA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D852FA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A23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2C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0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124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1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E6B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C5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1C109C"/>
    <w:multiLevelType w:val="hybridMultilevel"/>
    <w:tmpl w:val="C6E49AFA"/>
    <w:lvl w:ilvl="0" w:tplc="F9A2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F2DE1"/>
    <w:multiLevelType w:val="hybridMultilevel"/>
    <w:tmpl w:val="9622277C"/>
    <w:lvl w:ilvl="0" w:tplc="0AE8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F11D28"/>
    <w:multiLevelType w:val="hybridMultilevel"/>
    <w:tmpl w:val="69543F42"/>
    <w:lvl w:ilvl="0" w:tplc="4890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4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6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AB44D8D"/>
    <w:multiLevelType w:val="hybridMultilevel"/>
    <w:tmpl w:val="CC903C2A"/>
    <w:lvl w:ilvl="0" w:tplc="8E4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BE5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08E451E"/>
    <w:multiLevelType w:val="hybridMultilevel"/>
    <w:tmpl w:val="A462EBBE"/>
    <w:lvl w:ilvl="0" w:tplc="73A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A7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2E17F7"/>
    <w:multiLevelType w:val="hybridMultilevel"/>
    <w:tmpl w:val="1B9A660A"/>
    <w:lvl w:ilvl="0" w:tplc="25E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AE2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8BE5E05"/>
    <w:multiLevelType w:val="hybridMultilevel"/>
    <w:tmpl w:val="539A8D92"/>
    <w:lvl w:ilvl="0" w:tplc="BAD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F94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0087CC0"/>
    <w:multiLevelType w:val="hybridMultilevel"/>
    <w:tmpl w:val="3DEAA696"/>
    <w:lvl w:ilvl="0" w:tplc="5394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0C18C1"/>
    <w:multiLevelType w:val="hybridMultilevel"/>
    <w:tmpl w:val="9482E124"/>
    <w:lvl w:ilvl="0" w:tplc="B52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35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DC"/>
    <w:rsid w:val="00000556"/>
    <w:rsid w:val="00005EA0"/>
    <w:rsid w:val="0001042E"/>
    <w:rsid w:val="00013684"/>
    <w:rsid w:val="000152A1"/>
    <w:rsid w:val="00021E5B"/>
    <w:rsid w:val="00033F10"/>
    <w:rsid w:val="00041F39"/>
    <w:rsid w:val="00044D33"/>
    <w:rsid w:val="00050191"/>
    <w:rsid w:val="000502A0"/>
    <w:rsid w:val="00052916"/>
    <w:rsid w:val="000565CF"/>
    <w:rsid w:val="000605B3"/>
    <w:rsid w:val="00086F6C"/>
    <w:rsid w:val="00090B2C"/>
    <w:rsid w:val="000948AB"/>
    <w:rsid w:val="000A762F"/>
    <w:rsid w:val="000B65CC"/>
    <w:rsid w:val="000C133D"/>
    <w:rsid w:val="000C3880"/>
    <w:rsid w:val="000D092D"/>
    <w:rsid w:val="000D0995"/>
    <w:rsid w:val="000D0EC2"/>
    <w:rsid w:val="000D10F1"/>
    <w:rsid w:val="000D71EC"/>
    <w:rsid w:val="000D7531"/>
    <w:rsid w:val="000D7667"/>
    <w:rsid w:val="000E6E6B"/>
    <w:rsid w:val="000F12C9"/>
    <w:rsid w:val="000F4B00"/>
    <w:rsid w:val="000F7CE3"/>
    <w:rsid w:val="00100244"/>
    <w:rsid w:val="001034F9"/>
    <w:rsid w:val="00114256"/>
    <w:rsid w:val="00117491"/>
    <w:rsid w:val="00126D68"/>
    <w:rsid w:val="0013158F"/>
    <w:rsid w:val="0013401D"/>
    <w:rsid w:val="001473FA"/>
    <w:rsid w:val="00155C65"/>
    <w:rsid w:val="00157F06"/>
    <w:rsid w:val="001613A0"/>
    <w:rsid w:val="00167295"/>
    <w:rsid w:val="00174C44"/>
    <w:rsid w:val="00182C6D"/>
    <w:rsid w:val="001903C2"/>
    <w:rsid w:val="00191240"/>
    <w:rsid w:val="001A0D1C"/>
    <w:rsid w:val="001A1CBF"/>
    <w:rsid w:val="001A74FB"/>
    <w:rsid w:val="001B01C0"/>
    <w:rsid w:val="001B1B17"/>
    <w:rsid w:val="001B209B"/>
    <w:rsid w:val="001B3F95"/>
    <w:rsid w:val="001B685D"/>
    <w:rsid w:val="001C234D"/>
    <w:rsid w:val="001C4AA3"/>
    <w:rsid w:val="001C5CE5"/>
    <w:rsid w:val="001C7344"/>
    <w:rsid w:val="001D41B5"/>
    <w:rsid w:val="001E05F0"/>
    <w:rsid w:val="001E1C93"/>
    <w:rsid w:val="001E5F53"/>
    <w:rsid w:val="001F0952"/>
    <w:rsid w:val="002016B4"/>
    <w:rsid w:val="00205AAA"/>
    <w:rsid w:val="00207054"/>
    <w:rsid w:val="00207361"/>
    <w:rsid w:val="0021763B"/>
    <w:rsid w:val="002178C6"/>
    <w:rsid w:val="00217B50"/>
    <w:rsid w:val="00236761"/>
    <w:rsid w:val="00251007"/>
    <w:rsid w:val="00270CB8"/>
    <w:rsid w:val="00275487"/>
    <w:rsid w:val="00277071"/>
    <w:rsid w:val="002A28CE"/>
    <w:rsid w:val="002B0C6A"/>
    <w:rsid w:val="002B7671"/>
    <w:rsid w:val="002C2C1B"/>
    <w:rsid w:val="002C50E3"/>
    <w:rsid w:val="002C57E4"/>
    <w:rsid w:val="002E2077"/>
    <w:rsid w:val="002E2752"/>
    <w:rsid w:val="002E42E3"/>
    <w:rsid w:val="002E637C"/>
    <w:rsid w:val="002E74AD"/>
    <w:rsid w:val="002F122C"/>
    <w:rsid w:val="002F1C11"/>
    <w:rsid w:val="002F74BE"/>
    <w:rsid w:val="00300005"/>
    <w:rsid w:val="003042C7"/>
    <w:rsid w:val="00321308"/>
    <w:rsid w:val="00330A5A"/>
    <w:rsid w:val="0033203B"/>
    <w:rsid w:val="00334014"/>
    <w:rsid w:val="00341BD2"/>
    <w:rsid w:val="0034573E"/>
    <w:rsid w:val="00347FB7"/>
    <w:rsid w:val="003579F4"/>
    <w:rsid w:val="00360547"/>
    <w:rsid w:val="00365580"/>
    <w:rsid w:val="003728B6"/>
    <w:rsid w:val="00373029"/>
    <w:rsid w:val="00376C06"/>
    <w:rsid w:val="0038196A"/>
    <w:rsid w:val="00381DD4"/>
    <w:rsid w:val="00384E9F"/>
    <w:rsid w:val="0038523D"/>
    <w:rsid w:val="00385F21"/>
    <w:rsid w:val="003866F3"/>
    <w:rsid w:val="0039056C"/>
    <w:rsid w:val="003A2F7C"/>
    <w:rsid w:val="003A3484"/>
    <w:rsid w:val="003A6858"/>
    <w:rsid w:val="003B3237"/>
    <w:rsid w:val="003B4B15"/>
    <w:rsid w:val="003B4DB3"/>
    <w:rsid w:val="003B612F"/>
    <w:rsid w:val="003C4CA9"/>
    <w:rsid w:val="003C67A1"/>
    <w:rsid w:val="003D5D43"/>
    <w:rsid w:val="003E1D8A"/>
    <w:rsid w:val="003F48AC"/>
    <w:rsid w:val="003F4FA7"/>
    <w:rsid w:val="00414464"/>
    <w:rsid w:val="004152E3"/>
    <w:rsid w:val="00426BDB"/>
    <w:rsid w:val="00427597"/>
    <w:rsid w:val="00430550"/>
    <w:rsid w:val="004333AC"/>
    <w:rsid w:val="00434B83"/>
    <w:rsid w:val="00435E86"/>
    <w:rsid w:val="00436EAE"/>
    <w:rsid w:val="00444C55"/>
    <w:rsid w:val="004462FB"/>
    <w:rsid w:val="00447AF5"/>
    <w:rsid w:val="00455868"/>
    <w:rsid w:val="00460E16"/>
    <w:rsid w:val="00465BC1"/>
    <w:rsid w:val="00486DC1"/>
    <w:rsid w:val="00487F9C"/>
    <w:rsid w:val="00491922"/>
    <w:rsid w:val="00497FC6"/>
    <w:rsid w:val="00497FF2"/>
    <w:rsid w:val="004A0543"/>
    <w:rsid w:val="004A1F3C"/>
    <w:rsid w:val="004B130A"/>
    <w:rsid w:val="004B7687"/>
    <w:rsid w:val="004C2191"/>
    <w:rsid w:val="004C36FE"/>
    <w:rsid w:val="004C7972"/>
    <w:rsid w:val="004C7C5A"/>
    <w:rsid w:val="004D2E85"/>
    <w:rsid w:val="004D483B"/>
    <w:rsid w:val="004E7489"/>
    <w:rsid w:val="004E7F47"/>
    <w:rsid w:val="004F4BEB"/>
    <w:rsid w:val="00501AB7"/>
    <w:rsid w:val="0051187A"/>
    <w:rsid w:val="0051683B"/>
    <w:rsid w:val="00525674"/>
    <w:rsid w:val="00530683"/>
    <w:rsid w:val="0054121C"/>
    <w:rsid w:val="00541A04"/>
    <w:rsid w:val="00554583"/>
    <w:rsid w:val="00556D25"/>
    <w:rsid w:val="00556F4F"/>
    <w:rsid w:val="005635F3"/>
    <w:rsid w:val="0056642D"/>
    <w:rsid w:val="005754B4"/>
    <w:rsid w:val="00581BEB"/>
    <w:rsid w:val="005844B2"/>
    <w:rsid w:val="005875C8"/>
    <w:rsid w:val="005A09F8"/>
    <w:rsid w:val="005A0BF9"/>
    <w:rsid w:val="005A446E"/>
    <w:rsid w:val="005A667C"/>
    <w:rsid w:val="005B256A"/>
    <w:rsid w:val="005B54D4"/>
    <w:rsid w:val="005B6293"/>
    <w:rsid w:val="005C69FB"/>
    <w:rsid w:val="005D237B"/>
    <w:rsid w:val="005E0F83"/>
    <w:rsid w:val="005F1680"/>
    <w:rsid w:val="00602631"/>
    <w:rsid w:val="006064A2"/>
    <w:rsid w:val="00606F52"/>
    <w:rsid w:val="00612783"/>
    <w:rsid w:val="00615EDC"/>
    <w:rsid w:val="00630A06"/>
    <w:rsid w:val="00630C2A"/>
    <w:rsid w:val="00637466"/>
    <w:rsid w:val="006441CC"/>
    <w:rsid w:val="00647196"/>
    <w:rsid w:val="0065487F"/>
    <w:rsid w:val="00657AC1"/>
    <w:rsid w:val="00661AF9"/>
    <w:rsid w:val="00665FF9"/>
    <w:rsid w:val="0067096A"/>
    <w:rsid w:val="006A39A0"/>
    <w:rsid w:val="006A4C01"/>
    <w:rsid w:val="006A50A5"/>
    <w:rsid w:val="006C2F8C"/>
    <w:rsid w:val="006D188B"/>
    <w:rsid w:val="006D2310"/>
    <w:rsid w:val="006E29DD"/>
    <w:rsid w:val="006E6FB9"/>
    <w:rsid w:val="006F48BD"/>
    <w:rsid w:val="006F740B"/>
    <w:rsid w:val="006F76A6"/>
    <w:rsid w:val="00706A5F"/>
    <w:rsid w:val="00707D76"/>
    <w:rsid w:val="00712285"/>
    <w:rsid w:val="00712935"/>
    <w:rsid w:val="00714AD0"/>
    <w:rsid w:val="00735323"/>
    <w:rsid w:val="00737717"/>
    <w:rsid w:val="00740FF6"/>
    <w:rsid w:val="00746BD4"/>
    <w:rsid w:val="0075100D"/>
    <w:rsid w:val="00753C7C"/>
    <w:rsid w:val="007546C7"/>
    <w:rsid w:val="00771DF9"/>
    <w:rsid w:val="007727DB"/>
    <w:rsid w:val="00773A28"/>
    <w:rsid w:val="007743F2"/>
    <w:rsid w:val="00780B32"/>
    <w:rsid w:val="0078690C"/>
    <w:rsid w:val="007A11EB"/>
    <w:rsid w:val="007B2775"/>
    <w:rsid w:val="007C5A0D"/>
    <w:rsid w:val="007D0D39"/>
    <w:rsid w:val="007D1F8F"/>
    <w:rsid w:val="007D6B4E"/>
    <w:rsid w:val="007D7FCC"/>
    <w:rsid w:val="007E6EA3"/>
    <w:rsid w:val="007E78F8"/>
    <w:rsid w:val="007F2093"/>
    <w:rsid w:val="00803BD5"/>
    <w:rsid w:val="008047B1"/>
    <w:rsid w:val="00813955"/>
    <w:rsid w:val="00826552"/>
    <w:rsid w:val="00830FF9"/>
    <w:rsid w:val="00837E83"/>
    <w:rsid w:val="00840572"/>
    <w:rsid w:val="00844E23"/>
    <w:rsid w:val="0085027B"/>
    <w:rsid w:val="00857873"/>
    <w:rsid w:val="008704B7"/>
    <w:rsid w:val="00870E61"/>
    <w:rsid w:val="008740A7"/>
    <w:rsid w:val="008840AB"/>
    <w:rsid w:val="00890D89"/>
    <w:rsid w:val="0089399F"/>
    <w:rsid w:val="008A3A71"/>
    <w:rsid w:val="008A57DC"/>
    <w:rsid w:val="008B275C"/>
    <w:rsid w:val="008B3841"/>
    <w:rsid w:val="008C4AC1"/>
    <w:rsid w:val="008D5325"/>
    <w:rsid w:val="008D59FA"/>
    <w:rsid w:val="008F0673"/>
    <w:rsid w:val="008F1AB0"/>
    <w:rsid w:val="008F6008"/>
    <w:rsid w:val="008F7CB5"/>
    <w:rsid w:val="00902AC3"/>
    <w:rsid w:val="00903E59"/>
    <w:rsid w:val="009065C1"/>
    <w:rsid w:val="00915988"/>
    <w:rsid w:val="009176C4"/>
    <w:rsid w:val="0092150C"/>
    <w:rsid w:val="00931821"/>
    <w:rsid w:val="009336B6"/>
    <w:rsid w:val="009350A6"/>
    <w:rsid w:val="00937138"/>
    <w:rsid w:val="009403DF"/>
    <w:rsid w:val="00945172"/>
    <w:rsid w:val="009635DC"/>
    <w:rsid w:val="009656A5"/>
    <w:rsid w:val="00970F51"/>
    <w:rsid w:val="00971275"/>
    <w:rsid w:val="009722D6"/>
    <w:rsid w:val="00973FF3"/>
    <w:rsid w:val="0098426F"/>
    <w:rsid w:val="00984AC4"/>
    <w:rsid w:val="009A5040"/>
    <w:rsid w:val="009A65D1"/>
    <w:rsid w:val="009B37F9"/>
    <w:rsid w:val="009B5C82"/>
    <w:rsid w:val="009B7FF5"/>
    <w:rsid w:val="009C13A9"/>
    <w:rsid w:val="009C563D"/>
    <w:rsid w:val="009D3CE4"/>
    <w:rsid w:val="009D3F9B"/>
    <w:rsid w:val="009D4B6B"/>
    <w:rsid w:val="009D5EF8"/>
    <w:rsid w:val="009E34B0"/>
    <w:rsid w:val="009F2679"/>
    <w:rsid w:val="009F622C"/>
    <w:rsid w:val="009F79CC"/>
    <w:rsid w:val="00A00122"/>
    <w:rsid w:val="00A01099"/>
    <w:rsid w:val="00A053AD"/>
    <w:rsid w:val="00A12A7A"/>
    <w:rsid w:val="00A2055B"/>
    <w:rsid w:val="00A23043"/>
    <w:rsid w:val="00A26374"/>
    <w:rsid w:val="00A30CCE"/>
    <w:rsid w:val="00A332D4"/>
    <w:rsid w:val="00A35217"/>
    <w:rsid w:val="00A402C1"/>
    <w:rsid w:val="00A40CAA"/>
    <w:rsid w:val="00A43DFF"/>
    <w:rsid w:val="00A45840"/>
    <w:rsid w:val="00A45942"/>
    <w:rsid w:val="00A5219D"/>
    <w:rsid w:val="00A52417"/>
    <w:rsid w:val="00A5649F"/>
    <w:rsid w:val="00A629B8"/>
    <w:rsid w:val="00A71506"/>
    <w:rsid w:val="00A716C1"/>
    <w:rsid w:val="00A71A1B"/>
    <w:rsid w:val="00A722CC"/>
    <w:rsid w:val="00A76DB5"/>
    <w:rsid w:val="00A913DE"/>
    <w:rsid w:val="00AA40A0"/>
    <w:rsid w:val="00AA5CED"/>
    <w:rsid w:val="00AB0FDA"/>
    <w:rsid w:val="00AB3325"/>
    <w:rsid w:val="00AD2709"/>
    <w:rsid w:val="00AD3896"/>
    <w:rsid w:val="00AD4E9B"/>
    <w:rsid w:val="00AE1738"/>
    <w:rsid w:val="00AF35AD"/>
    <w:rsid w:val="00B0080B"/>
    <w:rsid w:val="00B02912"/>
    <w:rsid w:val="00B06EFA"/>
    <w:rsid w:val="00B10B49"/>
    <w:rsid w:val="00B112BA"/>
    <w:rsid w:val="00B172FA"/>
    <w:rsid w:val="00B25A79"/>
    <w:rsid w:val="00B32DBB"/>
    <w:rsid w:val="00B35A4D"/>
    <w:rsid w:val="00B40267"/>
    <w:rsid w:val="00B4507D"/>
    <w:rsid w:val="00B56394"/>
    <w:rsid w:val="00B576E4"/>
    <w:rsid w:val="00B62CD0"/>
    <w:rsid w:val="00B70858"/>
    <w:rsid w:val="00B778E9"/>
    <w:rsid w:val="00B8482D"/>
    <w:rsid w:val="00B87930"/>
    <w:rsid w:val="00B968D6"/>
    <w:rsid w:val="00BA59DC"/>
    <w:rsid w:val="00BA5E7A"/>
    <w:rsid w:val="00BA6C11"/>
    <w:rsid w:val="00BA7CEA"/>
    <w:rsid w:val="00BB297A"/>
    <w:rsid w:val="00BB464A"/>
    <w:rsid w:val="00BD3870"/>
    <w:rsid w:val="00BD3B4E"/>
    <w:rsid w:val="00BF0AC0"/>
    <w:rsid w:val="00C00A8F"/>
    <w:rsid w:val="00C025A4"/>
    <w:rsid w:val="00C03E4A"/>
    <w:rsid w:val="00C1688D"/>
    <w:rsid w:val="00C20216"/>
    <w:rsid w:val="00C24554"/>
    <w:rsid w:val="00C3037A"/>
    <w:rsid w:val="00C32B06"/>
    <w:rsid w:val="00C35589"/>
    <w:rsid w:val="00C71A30"/>
    <w:rsid w:val="00C77E8E"/>
    <w:rsid w:val="00C80781"/>
    <w:rsid w:val="00C90CBB"/>
    <w:rsid w:val="00C94860"/>
    <w:rsid w:val="00C973AC"/>
    <w:rsid w:val="00CA0C73"/>
    <w:rsid w:val="00CA6E48"/>
    <w:rsid w:val="00CB1018"/>
    <w:rsid w:val="00CB1AD3"/>
    <w:rsid w:val="00CB41E5"/>
    <w:rsid w:val="00CC00B7"/>
    <w:rsid w:val="00CC5152"/>
    <w:rsid w:val="00CD2F40"/>
    <w:rsid w:val="00CD323F"/>
    <w:rsid w:val="00CD334D"/>
    <w:rsid w:val="00CD352A"/>
    <w:rsid w:val="00CE4A81"/>
    <w:rsid w:val="00CF1124"/>
    <w:rsid w:val="00CF70DC"/>
    <w:rsid w:val="00D0337F"/>
    <w:rsid w:val="00D1089A"/>
    <w:rsid w:val="00D170A2"/>
    <w:rsid w:val="00D22CC3"/>
    <w:rsid w:val="00D27DC9"/>
    <w:rsid w:val="00D31B05"/>
    <w:rsid w:val="00D364DB"/>
    <w:rsid w:val="00D40FEF"/>
    <w:rsid w:val="00D41276"/>
    <w:rsid w:val="00D418E8"/>
    <w:rsid w:val="00D4416D"/>
    <w:rsid w:val="00D45EA5"/>
    <w:rsid w:val="00D52DB0"/>
    <w:rsid w:val="00D55FD6"/>
    <w:rsid w:val="00D570F0"/>
    <w:rsid w:val="00D575BA"/>
    <w:rsid w:val="00D626E1"/>
    <w:rsid w:val="00D72AE2"/>
    <w:rsid w:val="00D76DBD"/>
    <w:rsid w:val="00D76DD7"/>
    <w:rsid w:val="00D84C68"/>
    <w:rsid w:val="00D86641"/>
    <w:rsid w:val="00D92926"/>
    <w:rsid w:val="00D94C9B"/>
    <w:rsid w:val="00DA17C6"/>
    <w:rsid w:val="00DA2572"/>
    <w:rsid w:val="00DA3155"/>
    <w:rsid w:val="00DA7327"/>
    <w:rsid w:val="00DB658C"/>
    <w:rsid w:val="00DB7547"/>
    <w:rsid w:val="00DC26BC"/>
    <w:rsid w:val="00DC7275"/>
    <w:rsid w:val="00DD0A4D"/>
    <w:rsid w:val="00DD2F28"/>
    <w:rsid w:val="00DD6D2C"/>
    <w:rsid w:val="00DE588E"/>
    <w:rsid w:val="00E06598"/>
    <w:rsid w:val="00E2296D"/>
    <w:rsid w:val="00E24044"/>
    <w:rsid w:val="00E26861"/>
    <w:rsid w:val="00E324ED"/>
    <w:rsid w:val="00E604AA"/>
    <w:rsid w:val="00E62B25"/>
    <w:rsid w:val="00E62EC2"/>
    <w:rsid w:val="00E6550D"/>
    <w:rsid w:val="00E67F4B"/>
    <w:rsid w:val="00E70E4B"/>
    <w:rsid w:val="00E7100D"/>
    <w:rsid w:val="00E83562"/>
    <w:rsid w:val="00E91CD0"/>
    <w:rsid w:val="00E9677B"/>
    <w:rsid w:val="00EA0E16"/>
    <w:rsid w:val="00EA2A94"/>
    <w:rsid w:val="00EB39C4"/>
    <w:rsid w:val="00EB53E9"/>
    <w:rsid w:val="00EC3DDD"/>
    <w:rsid w:val="00ED05F4"/>
    <w:rsid w:val="00ED14AC"/>
    <w:rsid w:val="00EE066B"/>
    <w:rsid w:val="00EE5A43"/>
    <w:rsid w:val="00EE5BFF"/>
    <w:rsid w:val="00EF1B20"/>
    <w:rsid w:val="00F02455"/>
    <w:rsid w:val="00F03B13"/>
    <w:rsid w:val="00F06426"/>
    <w:rsid w:val="00F13A53"/>
    <w:rsid w:val="00F22FA4"/>
    <w:rsid w:val="00F40870"/>
    <w:rsid w:val="00F41132"/>
    <w:rsid w:val="00F46758"/>
    <w:rsid w:val="00F61404"/>
    <w:rsid w:val="00F6655B"/>
    <w:rsid w:val="00F74381"/>
    <w:rsid w:val="00F86939"/>
    <w:rsid w:val="00FA0D8A"/>
    <w:rsid w:val="00FA6512"/>
    <w:rsid w:val="00FB0A49"/>
    <w:rsid w:val="00FB58D7"/>
    <w:rsid w:val="00FB5D60"/>
    <w:rsid w:val="00FD3C72"/>
    <w:rsid w:val="00FD533A"/>
    <w:rsid w:val="00FE3E37"/>
    <w:rsid w:val="00FF0763"/>
    <w:rsid w:val="00FF5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D6F45"/>
  <w15:docId w15:val="{0D2037AC-297E-4198-96DA-1842E672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30683"/>
    <w:pPr>
      <w:jc w:val="center"/>
    </w:pPr>
    <w:rPr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3068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0A5"/>
    <w:pPr>
      <w:spacing w:after="200"/>
    </w:pPr>
    <w:rPr>
      <w:rFonts w:asciiTheme="minorHAnsi" w:eastAsiaTheme="minorEastAsia" w:hAnsiTheme="minorHAnsi" w:cstheme="minorBidi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0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0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0A5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065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065C1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Fuentedeprrafopredeter"/>
    <w:rsid w:val="009336B6"/>
  </w:style>
  <w:style w:type="character" w:styleId="nfasis">
    <w:name w:val="Emphasis"/>
    <w:basedOn w:val="Fuentedeprrafopredeter"/>
    <w:uiPriority w:val="20"/>
    <w:qFormat/>
    <w:rsid w:val="00837E83"/>
    <w:rPr>
      <w:i/>
      <w:iCs/>
    </w:rPr>
  </w:style>
  <w:style w:type="paragraph" w:styleId="Prrafodelista">
    <w:name w:val="List Paragraph"/>
    <w:basedOn w:val="Normal"/>
    <w:uiPriority w:val="34"/>
    <w:qFormat/>
    <w:rsid w:val="00F6655B"/>
    <w:pPr>
      <w:ind w:left="720"/>
      <w:contextualSpacing/>
    </w:pPr>
    <w:rPr>
      <w:lang w:val="en-US" w:eastAsia="en-US"/>
    </w:rPr>
  </w:style>
  <w:style w:type="paragraph" w:customStyle="1" w:styleId="Default">
    <w:name w:val="Default"/>
    <w:rsid w:val="000502A0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character" w:customStyle="1" w:styleId="il">
    <w:name w:val="il"/>
    <w:basedOn w:val="Fuentedeprrafopredeter"/>
    <w:rsid w:val="000D092D"/>
  </w:style>
  <w:style w:type="paragraph" w:styleId="Revisin">
    <w:name w:val="Revision"/>
    <w:hidden/>
    <w:semiHidden/>
    <w:rsid w:val="00FA6512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6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5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3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0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3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04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5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8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73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1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1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6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20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5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25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7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7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27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06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9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08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4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5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5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64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9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2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0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77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6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4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05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0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0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83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87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0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50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0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12769-A5AC-4614-B5A1-77EFF102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Hernández</dc:creator>
  <cp:lastModifiedBy>Andrea Ampuero</cp:lastModifiedBy>
  <cp:revision>2</cp:revision>
  <cp:lastPrinted>2018-12-03T13:14:00Z</cp:lastPrinted>
  <dcterms:created xsi:type="dcterms:W3CDTF">2018-12-03T20:39:00Z</dcterms:created>
  <dcterms:modified xsi:type="dcterms:W3CDTF">2018-12-03T20:39:00Z</dcterms:modified>
</cp:coreProperties>
</file>